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809954">
      <w:bookmarkStart w:id="0" w:name="_Toc383679746"/>
      <w:bookmarkStart w:id="1" w:name="_Toc390246905"/>
      <w:bookmarkStart w:id="2" w:name="_Toc383623672"/>
      <w:bookmarkStart w:id="3" w:name="_Toc383623944"/>
      <w:bookmarkStart w:id="4" w:name="_Toc390099018"/>
      <w:bookmarkStart w:id="5" w:name="_Toc383625993"/>
      <w:bookmarkStart w:id="6" w:name="_Toc426469868"/>
      <w:bookmarkStart w:id="7" w:name="_Toc383587456"/>
      <w:bookmarkStart w:id="8" w:name="_Toc390098840"/>
      <w:bookmarkStart w:id="9" w:name="_Toc383698647"/>
    </w:p>
    <w:p w14:paraId="0F65D8C3"/>
    <w:p w14:paraId="5ADC41BE">
      <w:pPr>
        <w:pStyle w:val="48"/>
      </w:pPr>
    </w:p>
    <w:p w14:paraId="6BD1D987">
      <w:pPr>
        <w:pStyle w:val="48"/>
      </w:pPr>
    </w:p>
    <w:p w14:paraId="454301E1">
      <w:r>
        <w:rPr>
          <w:rFonts w:hint="eastAsia"/>
        </w:rPr>
        <w:tab/>
      </w:r>
    </w:p>
    <w:p w14:paraId="5A5B498E"/>
    <w:p w14:paraId="4030FAA3"/>
    <w:p w14:paraId="269DB099">
      <w:pPr>
        <w:pStyle w:val="208"/>
        <w:jc w:val="center"/>
        <w:outlineLvl w:val="0"/>
        <w:rPr>
          <w:rFonts w:ascii="Times New Roman" w:eastAsia="宋体"/>
          <w:bCs/>
          <w:color w:val="0D0D0D"/>
          <w:sz w:val="84"/>
          <w:szCs w:val="84"/>
        </w:rPr>
      </w:pPr>
      <w:r>
        <w:rPr>
          <w:rFonts w:hint="eastAsia" w:ascii="Times New Roman" w:hAnsi="宋体" w:eastAsia="宋体"/>
          <w:bCs/>
          <w:color w:val="0D0D0D"/>
          <w:sz w:val="84"/>
          <w:szCs w:val="84"/>
        </w:rPr>
        <w:t>竞争性磋商文件</w:t>
      </w:r>
    </w:p>
    <w:p w14:paraId="4374B4C5">
      <w:pPr>
        <w:pStyle w:val="208"/>
        <w:spacing w:line="540" w:lineRule="exact"/>
        <w:ind w:firstLine="640"/>
        <w:rPr>
          <w:rFonts w:ascii="Times New Roman" w:eastAsia="宋体"/>
          <w:b/>
          <w:bCs/>
          <w:color w:val="0D0D0D"/>
          <w:sz w:val="32"/>
          <w:szCs w:val="32"/>
        </w:rPr>
      </w:pPr>
    </w:p>
    <w:p w14:paraId="32A867BD">
      <w:pPr>
        <w:pStyle w:val="208"/>
        <w:spacing w:line="540" w:lineRule="exact"/>
        <w:ind w:firstLine="640"/>
        <w:rPr>
          <w:rFonts w:ascii="Times New Roman" w:eastAsia="宋体"/>
          <w:b/>
          <w:bCs/>
          <w:color w:val="0D0D0D"/>
          <w:sz w:val="32"/>
          <w:szCs w:val="32"/>
        </w:rPr>
      </w:pPr>
    </w:p>
    <w:p w14:paraId="72BD79FB">
      <w:pPr>
        <w:pStyle w:val="208"/>
        <w:spacing w:line="540" w:lineRule="exact"/>
        <w:ind w:firstLine="640"/>
        <w:rPr>
          <w:rFonts w:ascii="Times New Roman" w:eastAsia="宋体"/>
          <w:b/>
          <w:bCs/>
          <w:color w:val="0D0D0D"/>
          <w:sz w:val="32"/>
          <w:szCs w:val="32"/>
        </w:rPr>
      </w:pPr>
    </w:p>
    <w:p w14:paraId="77949494">
      <w:pPr>
        <w:pStyle w:val="208"/>
        <w:spacing w:line="640" w:lineRule="exact"/>
        <w:ind w:left="2416" w:leftChars="0" w:hanging="2416" w:hangingChars="547"/>
        <w:jc w:val="both"/>
        <w:outlineLvl w:val="0"/>
        <w:rPr>
          <w:rFonts w:hint="eastAsia" w:ascii="Times New Roman" w:hAnsi="宋体" w:eastAsia="宋体"/>
          <w:b/>
          <w:bCs/>
          <w:color w:val="0D0D0D"/>
          <w:sz w:val="44"/>
          <w:szCs w:val="44"/>
        </w:rPr>
      </w:pPr>
      <w:r>
        <w:rPr>
          <w:rFonts w:hint="eastAsia" w:ascii="Times New Roman" w:hAnsi="宋体" w:eastAsia="宋体"/>
          <w:b/>
          <w:bCs/>
          <w:color w:val="0D0D0D"/>
          <w:sz w:val="44"/>
          <w:szCs w:val="44"/>
        </w:rPr>
        <w:t>项目名称：泰兴市文化博览中心物业管理服务项目</w:t>
      </w:r>
    </w:p>
    <w:p w14:paraId="6C6886BE">
      <w:pPr>
        <w:pStyle w:val="208"/>
        <w:spacing w:line="640" w:lineRule="exact"/>
        <w:jc w:val="both"/>
        <w:outlineLvl w:val="0"/>
        <w:rPr>
          <w:rFonts w:hint="default" w:asciiTheme="minorEastAsia" w:hAnsiTheme="minorEastAsia" w:eastAsiaTheme="minorEastAsia" w:cstheme="minorEastAsia"/>
          <w:b/>
          <w:color w:val="FF0000"/>
          <w:sz w:val="44"/>
          <w:szCs w:val="44"/>
          <w:lang w:val="en-US"/>
        </w:rPr>
      </w:pPr>
      <w:r>
        <w:rPr>
          <w:rFonts w:hint="eastAsia" w:ascii="Times New Roman" w:hAnsi="宋体" w:eastAsia="宋体"/>
          <w:b/>
          <w:color w:val="0D0D0D"/>
          <w:sz w:val="44"/>
          <w:szCs w:val="44"/>
        </w:rPr>
        <w:t>项目编号:</w:t>
      </w:r>
      <w:r>
        <w:rPr>
          <w:rFonts w:asciiTheme="minorEastAsia" w:hAnsiTheme="minorEastAsia" w:eastAsiaTheme="minorEastAsia" w:cstheme="minorEastAsia"/>
          <w:b/>
          <w:color w:val="0D0D0D"/>
          <w:sz w:val="44"/>
          <w:szCs w:val="44"/>
        </w:rPr>
        <w:t xml:space="preserve"> </w:t>
      </w:r>
      <w:r>
        <w:rPr>
          <w:rFonts w:hint="eastAsia" w:asciiTheme="minorEastAsia" w:hAnsiTheme="minorEastAsia" w:eastAsiaTheme="minorEastAsia" w:cstheme="minorEastAsia"/>
          <w:b/>
          <w:color w:val="0D0D0D"/>
          <w:sz w:val="44"/>
          <w:szCs w:val="44"/>
        </w:rPr>
        <w:t>JSZC-321283-JZCG-C202</w:t>
      </w:r>
      <w:r>
        <w:rPr>
          <w:rFonts w:hint="eastAsia" w:asciiTheme="minorEastAsia" w:hAnsiTheme="minorEastAsia" w:eastAsiaTheme="minorEastAsia" w:cstheme="minorEastAsia"/>
          <w:b/>
          <w:color w:val="0D0D0D"/>
          <w:sz w:val="44"/>
          <w:szCs w:val="44"/>
          <w:lang w:val="en-US" w:eastAsia="zh-CN"/>
        </w:rPr>
        <w:t>6</w:t>
      </w:r>
      <w:r>
        <w:rPr>
          <w:rFonts w:hint="eastAsia" w:asciiTheme="minorEastAsia" w:hAnsiTheme="minorEastAsia" w:eastAsiaTheme="minorEastAsia" w:cstheme="minorEastAsia"/>
          <w:b/>
          <w:color w:val="0D0D0D"/>
          <w:sz w:val="44"/>
          <w:szCs w:val="44"/>
        </w:rPr>
        <w:t>-00</w:t>
      </w:r>
      <w:r>
        <w:rPr>
          <w:rFonts w:hint="eastAsia" w:asciiTheme="minorEastAsia" w:hAnsiTheme="minorEastAsia" w:eastAsiaTheme="minorEastAsia" w:cstheme="minorEastAsia"/>
          <w:b/>
          <w:color w:val="0D0D0D"/>
          <w:sz w:val="44"/>
          <w:szCs w:val="44"/>
          <w:lang w:val="en-US" w:eastAsia="zh-CN"/>
        </w:rPr>
        <w:t>04</w:t>
      </w:r>
    </w:p>
    <w:p w14:paraId="51FB2AC6">
      <w:pPr>
        <w:pStyle w:val="208"/>
        <w:spacing w:line="540" w:lineRule="exact"/>
        <w:ind w:firstLine="643"/>
        <w:jc w:val="center"/>
        <w:rPr>
          <w:rFonts w:ascii="Times New Roman" w:eastAsia="宋体"/>
          <w:b/>
          <w:color w:val="0D0D0D"/>
          <w:sz w:val="32"/>
          <w:szCs w:val="32"/>
        </w:rPr>
      </w:pPr>
    </w:p>
    <w:p w14:paraId="2FF99835">
      <w:pPr>
        <w:pStyle w:val="208"/>
        <w:spacing w:line="540" w:lineRule="exact"/>
        <w:ind w:firstLine="643"/>
        <w:jc w:val="center"/>
        <w:rPr>
          <w:rFonts w:ascii="Times New Roman" w:eastAsia="宋体"/>
          <w:b/>
          <w:color w:val="0D0D0D"/>
          <w:sz w:val="32"/>
          <w:szCs w:val="32"/>
        </w:rPr>
      </w:pPr>
    </w:p>
    <w:p w14:paraId="716E7F62">
      <w:pPr>
        <w:pStyle w:val="208"/>
        <w:spacing w:line="540" w:lineRule="exact"/>
        <w:ind w:firstLine="643"/>
        <w:jc w:val="center"/>
        <w:rPr>
          <w:rFonts w:ascii="Times New Roman" w:eastAsia="宋体"/>
          <w:b/>
          <w:color w:val="0D0D0D"/>
          <w:sz w:val="32"/>
          <w:szCs w:val="32"/>
        </w:rPr>
      </w:pPr>
    </w:p>
    <w:p w14:paraId="36D2D158">
      <w:pPr>
        <w:pStyle w:val="208"/>
        <w:spacing w:line="540" w:lineRule="exact"/>
        <w:ind w:firstLine="643"/>
        <w:jc w:val="center"/>
        <w:rPr>
          <w:rFonts w:ascii="Times New Roman" w:eastAsia="宋体"/>
          <w:b/>
          <w:color w:val="0D0D0D"/>
          <w:sz w:val="32"/>
          <w:szCs w:val="32"/>
        </w:rPr>
      </w:pPr>
    </w:p>
    <w:p w14:paraId="7342E068">
      <w:pPr>
        <w:pStyle w:val="208"/>
        <w:spacing w:line="540" w:lineRule="exact"/>
        <w:ind w:firstLine="643"/>
        <w:jc w:val="center"/>
        <w:rPr>
          <w:rFonts w:ascii="Times New Roman" w:eastAsia="宋体"/>
          <w:b/>
          <w:color w:val="0D0D0D"/>
          <w:sz w:val="32"/>
          <w:szCs w:val="32"/>
        </w:rPr>
      </w:pPr>
    </w:p>
    <w:p w14:paraId="2AF087FD">
      <w:pPr>
        <w:pStyle w:val="208"/>
        <w:spacing w:line="540" w:lineRule="exact"/>
        <w:ind w:firstLine="643"/>
        <w:jc w:val="center"/>
        <w:rPr>
          <w:rFonts w:ascii="Times New Roman" w:eastAsia="宋体"/>
          <w:b/>
          <w:color w:val="0D0D0D"/>
          <w:sz w:val="32"/>
          <w:szCs w:val="32"/>
        </w:rPr>
      </w:pPr>
    </w:p>
    <w:p w14:paraId="5470BF2A">
      <w:pPr>
        <w:pStyle w:val="208"/>
        <w:spacing w:line="540" w:lineRule="exact"/>
        <w:ind w:firstLine="643"/>
        <w:jc w:val="center"/>
        <w:rPr>
          <w:rFonts w:ascii="Times New Roman" w:eastAsia="宋体"/>
          <w:b/>
          <w:color w:val="0D0D0D"/>
          <w:sz w:val="32"/>
          <w:szCs w:val="32"/>
        </w:rPr>
      </w:pPr>
    </w:p>
    <w:p w14:paraId="2BC7A4D4">
      <w:pPr>
        <w:pStyle w:val="208"/>
        <w:spacing w:line="540" w:lineRule="exact"/>
        <w:ind w:left="-2" w:firstLine="723"/>
        <w:jc w:val="center"/>
        <w:outlineLvl w:val="0"/>
        <w:rPr>
          <w:rFonts w:ascii="Times New Roman" w:eastAsia="宋体" w:cs="Times New Roman"/>
          <w:b/>
          <w:color w:val="0D0D0D"/>
          <w:sz w:val="36"/>
          <w:szCs w:val="36"/>
        </w:rPr>
      </w:pPr>
    </w:p>
    <w:p w14:paraId="0119E913">
      <w:pPr>
        <w:pStyle w:val="208"/>
        <w:spacing w:line="540" w:lineRule="exact"/>
        <w:ind w:left="-2" w:firstLine="2"/>
        <w:jc w:val="center"/>
        <w:rPr>
          <w:rFonts w:hint="eastAsia" w:ascii="Times New Roman" w:eastAsia="宋体" w:cs="Times New Roman"/>
          <w:b/>
          <w:color w:val="auto"/>
          <w:sz w:val="36"/>
          <w:szCs w:val="36"/>
          <w:lang w:val="en-US" w:eastAsia="zh-CN"/>
        </w:rPr>
      </w:pPr>
      <w:r>
        <w:rPr>
          <w:rFonts w:hint="eastAsia" w:ascii="Times New Roman" w:eastAsia="宋体" w:cs="Times New Roman"/>
          <w:b/>
          <w:color w:val="auto"/>
          <w:sz w:val="36"/>
          <w:szCs w:val="36"/>
          <w:lang w:val="en-US" w:eastAsia="zh-CN"/>
        </w:rPr>
        <w:t>泰兴市文化博览中心</w:t>
      </w:r>
    </w:p>
    <w:p w14:paraId="2282EB94">
      <w:pPr>
        <w:pStyle w:val="208"/>
        <w:spacing w:line="540" w:lineRule="exact"/>
        <w:ind w:left="-2" w:firstLine="2"/>
        <w:jc w:val="center"/>
        <w:rPr>
          <w:rFonts w:ascii="宋体" w:hAnsi="宋体" w:eastAsia="宋体"/>
          <w:b/>
          <w:bCs/>
          <w:color w:val="0D0D0D"/>
          <w:sz w:val="32"/>
          <w:szCs w:val="32"/>
        </w:rPr>
      </w:pPr>
      <w:r>
        <w:rPr>
          <w:rFonts w:ascii="宋体" w:hAnsi="宋体" w:eastAsia="宋体"/>
          <w:b/>
          <w:bCs/>
          <w:color w:val="0D0D0D"/>
          <w:sz w:val="32"/>
          <w:szCs w:val="32"/>
        </w:rPr>
        <w:t>202</w:t>
      </w:r>
      <w:r>
        <w:rPr>
          <w:rFonts w:hint="eastAsia" w:ascii="宋体" w:hAnsi="宋体" w:eastAsia="宋体"/>
          <w:b/>
          <w:bCs/>
          <w:color w:val="0D0D0D"/>
          <w:sz w:val="32"/>
          <w:szCs w:val="32"/>
          <w:lang w:val="en-US" w:eastAsia="zh-CN"/>
        </w:rPr>
        <w:t>6</w:t>
      </w:r>
      <w:r>
        <w:rPr>
          <w:rFonts w:hint="eastAsia" w:ascii="宋体" w:hAnsi="宋体" w:eastAsia="宋体"/>
          <w:b/>
          <w:bCs/>
          <w:color w:val="0D0D0D"/>
          <w:sz w:val="32"/>
          <w:szCs w:val="32"/>
        </w:rPr>
        <w:t>年</w:t>
      </w:r>
      <w:r>
        <w:rPr>
          <w:rFonts w:hint="eastAsia" w:ascii="宋体" w:hAnsi="宋体" w:eastAsia="宋体"/>
          <w:b/>
          <w:bCs/>
          <w:color w:val="0D0D0D"/>
          <w:sz w:val="32"/>
          <w:szCs w:val="32"/>
          <w:lang w:val="en-US" w:eastAsia="zh-CN"/>
        </w:rPr>
        <w:t>5</w:t>
      </w:r>
      <w:r>
        <w:rPr>
          <w:rFonts w:hint="eastAsia" w:ascii="宋体" w:hAnsi="宋体" w:eastAsia="宋体"/>
          <w:b/>
          <w:bCs/>
          <w:color w:val="0D0D0D"/>
          <w:sz w:val="32"/>
          <w:szCs w:val="32"/>
        </w:rPr>
        <w:t>月</w:t>
      </w:r>
    </w:p>
    <w:p w14:paraId="05A3D708"/>
    <w:p w14:paraId="1053EAD9"/>
    <w:p w14:paraId="11F7317F"/>
    <w:p w14:paraId="501AA83C">
      <w:pPr>
        <w:pStyle w:val="206"/>
        <w:tabs>
          <w:tab w:val="left" w:pos="3240"/>
        </w:tabs>
        <w:spacing w:line="500" w:lineRule="exact"/>
        <w:ind w:left="-5" w:firstLine="3"/>
        <w:jc w:val="center"/>
        <w:outlineLvl w:val="0"/>
        <w:rPr>
          <w:rFonts w:ascii="Times New Roman" w:hAnsi="Times New Roman" w:eastAsia="方正小标宋_GBK"/>
          <w:color w:val="0D0D0D"/>
          <w:sz w:val="44"/>
          <w:szCs w:val="44"/>
        </w:rPr>
        <w:sectPr>
          <w:headerReference r:id="rId3" w:type="default"/>
          <w:pgSz w:w="11906" w:h="16838"/>
          <w:pgMar w:top="1440" w:right="1800" w:bottom="1440" w:left="1800" w:header="851" w:footer="992" w:gutter="0"/>
          <w:cols w:space="425" w:num="1"/>
          <w:docGrid w:linePitch="360" w:charSpace="0"/>
        </w:sectPr>
      </w:pPr>
    </w:p>
    <w:p w14:paraId="7FE32A45">
      <w:pPr>
        <w:pStyle w:val="206"/>
        <w:tabs>
          <w:tab w:val="left" w:pos="3240"/>
        </w:tabs>
        <w:spacing w:line="500" w:lineRule="exact"/>
        <w:ind w:left="-5" w:firstLine="3"/>
        <w:jc w:val="center"/>
        <w:outlineLvl w:val="0"/>
        <w:rPr>
          <w:rFonts w:ascii="Times New Roman" w:hAnsi="Times New Roman" w:eastAsia="方正小标宋_GBK"/>
          <w:color w:val="0D0D0D"/>
          <w:sz w:val="44"/>
          <w:szCs w:val="44"/>
        </w:rPr>
      </w:pPr>
      <w:r>
        <w:rPr>
          <w:rFonts w:hint="eastAsia" w:ascii="Times New Roman" w:hAnsi="Times New Roman" w:eastAsia="方正小标宋_GBK"/>
          <w:color w:val="0D0D0D"/>
          <w:sz w:val="44"/>
          <w:szCs w:val="44"/>
        </w:rPr>
        <w:t>第一章</w:t>
      </w:r>
      <w:bookmarkEnd w:id="0"/>
      <w:bookmarkEnd w:id="1"/>
      <w:bookmarkEnd w:id="2"/>
      <w:bookmarkEnd w:id="3"/>
      <w:bookmarkEnd w:id="4"/>
      <w:bookmarkEnd w:id="5"/>
      <w:bookmarkEnd w:id="6"/>
      <w:bookmarkEnd w:id="7"/>
      <w:bookmarkEnd w:id="8"/>
      <w:bookmarkEnd w:id="9"/>
      <w:r>
        <w:rPr>
          <w:rFonts w:hint="eastAsia" w:ascii="Times New Roman" w:hAnsi="Times New Roman" w:eastAsia="方正小标宋_GBK"/>
          <w:color w:val="0D0D0D"/>
          <w:sz w:val="44"/>
          <w:szCs w:val="44"/>
        </w:rPr>
        <w:t xml:space="preserve">  竞争性磋商公告</w:t>
      </w:r>
    </w:p>
    <w:p w14:paraId="3C2E34C4">
      <w:pPr>
        <w:pBdr>
          <w:top w:val="single" w:color="auto" w:sz="4" w:space="1"/>
          <w:left w:val="single" w:color="auto" w:sz="4" w:space="4"/>
          <w:bottom w:val="single" w:color="auto" w:sz="4" w:space="1"/>
          <w:right w:val="single" w:color="auto" w:sz="4" w:space="4"/>
        </w:pBdr>
        <w:spacing w:line="500" w:lineRule="exact"/>
        <w:rPr>
          <w:rFonts w:ascii="仿宋_GB2312" w:hAnsi="宋体" w:eastAsia="仿宋_GB2312"/>
          <w:sz w:val="28"/>
          <w:szCs w:val="28"/>
        </w:rPr>
      </w:pPr>
      <w:bookmarkStart w:id="10" w:name="_Toc35393627"/>
      <w:bookmarkStart w:id="11" w:name="_Toc35393796"/>
      <w:bookmarkStart w:id="12" w:name="_Toc28359008"/>
      <w:bookmarkStart w:id="13" w:name="_Toc28359085"/>
      <w:r>
        <w:rPr>
          <w:rFonts w:hint="eastAsia" w:ascii="仿宋_GB2312" w:hAnsi="宋体" w:eastAsia="仿宋_GB2312"/>
          <w:sz w:val="28"/>
          <w:szCs w:val="28"/>
        </w:rPr>
        <w:t>项目概况</w:t>
      </w:r>
    </w:p>
    <w:p w14:paraId="484C19FC">
      <w:pPr>
        <w:pBdr>
          <w:top w:val="single" w:color="auto" w:sz="4" w:space="1"/>
          <w:left w:val="single" w:color="auto" w:sz="4" w:space="4"/>
          <w:bottom w:val="single" w:color="auto" w:sz="4" w:space="1"/>
          <w:right w:val="single" w:color="auto" w:sz="4" w:space="4"/>
        </w:pBdr>
        <w:spacing w:line="500" w:lineRule="exact"/>
        <w:ind w:firstLine="560"/>
        <w:rPr>
          <w:rFonts w:ascii="仿宋_GB2312" w:hAnsi="宋体" w:eastAsia="仿宋_GB2312"/>
          <w:b w:val="0"/>
          <w:bCs w:val="0"/>
          <w:sz w:val="28"/>
          <w:szCs w:val="28"/>
        </w:rPr>
      </w:pPr>
      <w:r>
        <w:rPr>
          <w:rFonts w:hint="eastAsia" w:ascii="仿宋_GB2312" w:hAnsi="宋体" w:eastAsia="仿宋_GB2312"/>
          <w:spacing w:val="-14"/>
          <w:sz w:val="28"/>
          <w:szCs w:val="28"/>
          <w:u w:val="single"/>
        </w:rPr>
        <w:t>泰兴市文化博览中心物业管理服务项目</w:t>
      </w:r>
      <w:r>
        <w:rPr>
          <w:rFonts w:hint="eastAsia" w:ascii="仿宋_GB2312" w:hAnsi="宋体" w:eastAsia="仿宋_GB2312"/>
          <w:spacing w:val="-14"/>
          <w:sz w:val="28"/>
          <w:szCs w:val="28"/>
          <w:u w:val="single"/>
          <w:lang w:val="en-US" w:eastAsia="zh-CN"/>
        </w:rPr>
        <w:t>（JSZC-321283-JZCG-C2026-0004）</w:t>
      </w:r>
      <w:r>
        <w:rPr>
          <w:rFonts w:hint="eastAsia" w:ascii="仿宋_GB2312" w:hAnsi="宋体" w:eastAsia="仿宋_GB2312"/>
          <w:b w:val="0"/>
          <w:bCs w:val="0"/>
          <w:sz w:val="28"/>
          <w:szCs w:val="28"/>
          <w:u w:val="single"/>
        </w:rPr>
        <w:t>潜在供应商应在“苏采云”政府采购一体化平台获取采购文件，并于</w:t>
      </w:r>
      <w:r>
        <w:rPr>
          <w:rFonts w:hint="eastAsia" w:ascii="仿宋_GB2312" w:hAnsi="宋体" w:eastAsia="仿宋_GB2312"/>
          <w:b w:val="0"/>
          <w:bCs w:val="0"/>
          <w:color w:val="FF0000"/>
          <w:sz w:val="28"/>
          <w:szCs w:val="28"/>
          <w:u w:val="single"/>
        </w:rPr>
        <w:t>202</w:t>
      </w:r>
      <w:r>
        <w:rPr>
          <w:rFonts w:hint="eastAsia" w:ascii="仿宋_GB2312" w:hAnsi="宋体" w:eastAsia="仿宋_GB2312"/>
          <w:b w:val="0"/>
          <w:bCs w:val="0"/>
          <w:color w:val="FF0000"/>
          <w:sz w:val="28"/>
          <w:szCs w:val="28"/>
          <w:u w:val="single"/>
          <w:lang w:val="en-US" w:eastAsia="zh-CN"/>
        </w:rPr>
        <w:t>6</w:t>
      </w:r>
      <w:r>
        <w:rPr>
          <w:rFonts w:hint="eastAsia" w:ascii="仿宋_GB2312" w:hAnsi="宋体" w:eastAsia="仿宋_GB2312"/>
          <w:b w:val="0"/>
          <w:bCs w:val="0"/>
          <w:color w:val="FF0000"/>
          <w:sz w:val="28"/>
          <w:szCs w:val="28"/>
          <w:u w:val="single"/>
        </w:rPr>
        <w:t>-</w:t>
      </w:r>
      <w:r>
        <w:rPr>
          <w:rFonts w:hint="eastAsia" w:ascii="仿宋_GB2312" w:hAnsi="宋体" w:eastAsia="仿宋_GB2312"/>
          <w:b w:val="0"/>
          <w:bCs w:val="0"/>
          <w:color w:val="FF0000"/>
          <w:sz w:val="28"/>
          <w:szCs w:val="28"/>
          <w:u w:val="single"/>
          <w:lang w:val="en-US" w:eastAsia="zh-CN"/>
        </w:rPr>
        <w:t>06</w:t>
      </w:r>
      <w:r>
        <w:rPr>
          <w:rFonts w:hint="eastAsia" w:ascii="仿宋_GB2312" w:hAnsi="宋体" w:eastAsia="仿宋_GB2312"/>
          <w:b w:val="0"/>
          <w:bCs w:val="0"/>
          <w:color w:val="FF0000"/>
          <w:sz w:val="28"/>
          <w:szCs w:val="28"/>
          <w:u w:val="single"/>
        </w:rPr>
        <w:t>-</w:t>
      </w:r>
      <w:r>
        <w:rPr>
          <w:rFonts w:hint="eastAsia" w:ascii="仿宋_GB2312" w:hAnsi="宋体" w:eastAsia="仿宋_GB2312"/>
          <w:b w:val="0"/>
          <w:bCs w:val="0"/>
          <w:color w:val="FF0000"/>
          <w:sz w:val="28"/>
          <w:szCs w:val="28"/>
          <w:u w:val="single"/>
          <w:lang w:val="en-US" w:eastAsia="zh-CN"/>
        </w:rPr>
        <w:t>12</w:t>
      </w:r>
      <w:r>
        <w:rPr>
          <w:rFonts w:hint="eastAsia" w:ascii="仿宋_GB2312" w:hAnsi="宋体" w:eastAsia="仿宋_GB2312"/>
          <w:b w:val="0"/>
          <w:bCs w:val="0"/>
          <w:color w:val="FF0000"/>
          <w:sz w:val="28"/>
          <w:szCs w:val="28"/>
          <w:u w:val="single"/>
        </w:rPr>
        <w:t xml:space="preserve">  </w:t>
      </w:r>
      <w:r>
        <w:rPr>
          <w:rFonts w:eastAsia="仿宋_GB2312"/>
          <w:b w:val="0"/>
          <w:bCs w:val="0"/>
          <w:color w:val="FF0000"/>
          <w:sz w:val="28"/>
          <w:szCs w:val="28"/>
          <w:u w:val="single"/>
        </w:rPr>
        <w:t>09</w:t>
      </w:r>
      <w:r>
        <w:rPr>
          <w:rFonts w:hint="eastAsia" w:eastAsia="仿宋_GB2312"/>
          <w:b w:val="0"/>
          <w:bCs w:val="0"/>
          <w:color w:val="FF0000"/>
          <w:sz w:val="28"/>
          <w:szCs w:val="28"/>
          <w:u w:val="single"/>
        </w:rPr>
        <w:t>:</w:t>
      </w:r>
      <w:r>
        <w:rPr>
          <w:rFonts w:eastAsia="仿宋_GB2312"/>
          <w:b w:val="0"/>
          <w:bCs w:val="0"/>
          <w:color w:val="FF0000"/>
          <w:sz w:val="28"/>
          <w:szCs w:val="28"/>
          <w:u w:val="single"/>
        </w:rPr>
        <w:t>00</w:t>
      </w:r>
      <w:r>
        <w:rPr>
          <w:rFonts w:hint="eastAsia" w:ascii="仿宋_GB2312" w:hAnsi="宋体" w:eastAsia="仿宋_GB2312"/>
          <w:b w:val="0"/>
          <w:bCs w:val="0"/>
          <w:sz w:val="28"/>
          <w:szCs w:val="28"/>
          <w:u w:val="single"/>
        </w:rPr>
        <w:t>（北京时间）前提交响应文件。</w:t>
      </w:r>
    </w:p>
    <w:p w14:paraId="2B932D22">
      <w:pPr>
        <w:adjustRightInd w:val="0"/>
        <w:snapToGrid w:val="0"/>
        <w:spacing w:line="560" w:lineRule="exact"/>
        <w:ind w:firstLine="560" w:firstLineChars="200"/>
        <w:rPr>
          <w:rFonts w:ascii="黑体" w:hAnsi="黑体" w:eastAsia="黑体"/>
          <w:sz w:val="28"/>
          <w:szCs w:val="28"/>
        </w:rPr>
      </w:pPr>
      <w:r>
        <w:rPr>
          <w:rFonts w:hint="eastAsia" w:ascii="黑体" w:hAnsi="黑体" w:eastAsia="黑体"/>
          <w:sz w:val="28"/>
          <w:szCs w:val="28"/>
        </w:rPr>
        <w:t>一、项目基本情况</w:t>
      </w:r>
    </w:p>
    <w:p w14:paraId="4DA8D2A3">
      <w:pPr>
        <w:adjustRightInd w:val="0"/>
        <w:snapToGrid w:val="0"/>
        <w:spacing w:line="560" w:lineRule="exact"/>
        <w:ind w:firstLine="560" w:firstLineChars="200"/>
        <w:rPr>
          <w:rFonts w:hint="eastAsia" w:ascii="仿宋_GB2312" w:hAnsi="宋体" w:eastAsia="仿宋_GB2312"/>
          <w:color w:val="auto"/>
          <w:sz w:val="28"/>
          <w:szCs w:val="28"/>
          <w:lang w:val="en-US" w:eastAsia="zh-CN"/>
        </w:rPr>
      </w:pPr>
      <w:r>
        <w:rPr>
          <w:rFonts w:hint="eastAsia" w:ascii="仿宋_GB2312" w:hAnsi="宋体" w:eastAsia="仿宋_GB2312"/>
          <w:color w:val="auto"/>
          <w:sz w:val="28"/>
          <w:szCs w:val="28"/>
        </w:rPr>
        <w:t>项目编号：</w:t>
      </w:r>
      <w:r>
        <w:rPr>
          <w:rFonts w:hint="eastAsia" w:ascii="仿宋_GB2312" w:hAnsi="宋体" w:eastAsia="仿宋_GB2312"/>
          <w:color w:val="auto"/>
          <w:sz w:val="28"/>
          <w:szCs w:val="28"/>
          <w:lang w:val="en-US" w:eastAsia="zh-CN"/>
        </w:rPr>
        <w:t>JSZC-321283-JZCG-C2026-0004</w:t>
      </w:r>
    </w:p>
    <w:p w14:paraId="7EEE05C0">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项目名称</w:t>
      </w:r>
      <w:r>
        <w:rPr>
          <w:rFonts w:hint="eastAsia" w:ascii="仿宋_GB2312" w:hAnsi="宋体" w:eastAsia="仿宋_GB2312"/>
          <w:spacing w:val="-14"/>
          <w:sz w:val="28"/>
          <w:szCs w:val="28"/>
        </w:rPr>
        <w:t>：泰兴市文化博览中心物业管理服务项目</w:t>
      </w:r>
    </w:p>
    <w:p w14:paraId="797ADD17">
      <w:pPr>
        <w:adjustRightInd w:val="0"/>
        <w:snapToGrid w:val="0"/>
        <w:spacing w:line="560" w:lineRule="exact"/>
        <w:ind w:firstLine="560" w:firstLineChars="200"/>
        <w:rPr>
          <w:rFonts w:ascii="仿宋_GB2312" w:hAnsi="宋体" w:eastAsia="仿宋_GB2312"/>
          <w:color w:val="FF0000"/>
          <w:sz w:val="28"/>
          <w:szCs w:val="28"/>
        </w:rPr>
      </w:pPr>
      <w:r>
        <w:rPr>
          <w:rFonts w:hint="eastAsia" w:ascii="仿宋_GB2312" w:hAnsi="宋体" w:eastAsia="仿宋_GB2312"/>
          <w:sz w:val="28"/>
          <w:szCs w:val="28"/>
        </w:rPr>
        <w:t>采购方式：竞争性磋商</w:t>
      </w:r>
    </w:p>
    <w:p w14:paraId="3E37BC83">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预算金额：</w:t>
      </w:r>
      <w:r>
        <w:rPr>
          <w:rFonts w:hint="eastAsia" w:ascii="仿宋_GB2312" w:hAnsi="宋体" w:eastAsia="仿宋_GB2312"/>
          <w:sz w:val="28"/>
          <w:szCs w:val="28"/>
          <w:lang w:val="en-US" w:eastAsia="zh-CN"/>
        </w:rPr>
        <w:t>103.6万</w:t>
      </w:r>
      <w:r>
        <w:rPr>
          <w:rFonts w:hint="eastAsia" w:ascii="仿宋_GB2312" w:hAnsi="宋体" w:eastAsia="仿宋_GB2312"/>
          <w:sz w:val="28"/>
          <w:szCs w:val="28"/>
        </w:rPr>
        <w:t>元/年</w:t>
      </w:r>
    </w:p>
    <w:p w14:paraId="5F777F51">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最高限价：</w:t>
      </w:r>
      <w:r>
        <w:rPr>
          <w:rFonts w:hint="eastAsia" w:ascii="仿宋_GB2312" w:hAnsi="宋体" w:eastAsia="仿宋_GB2312"/>
          <w:sz w:val="28"/>
          <w:szCs w:val="28"/>
          <w:lang w:val="en-US" w:eastAsia="zh-CN"/>
        </w:rPr>
        <w:t>103.6万</w:t>
      </w:r>
      <w:r>
        <w:rPr>
          <w:rFonts w:hint="eastAsia" w:ascii="仿宋_GB2312" w:hAnsi="宋体" w:eastAsia="仿宋_GB2312"/>
          <w:sz w:val="28"/>
          <w:szCs w:val="28"/>
        </w:rPr>
        <w:t>元/年</w:t>
      </w:r>
    </w:p>
    <w:p w14:paraId="5E889DBA">
      <w:pPr>
        <w:adjustRightInd w:val="0"/>
        <w:snapToGrid w:val="0"/>
        <w:spacing w:line="560" w:lineRule="exact"/>
        <w:ind w:firstLine="560" w:firstLineChars="200"/>
        <w:rPr>
          <w:rFonts w:ascii="仿宋_GB2312" w:hAnsi="宋体" w:eastAsia="仿宋_GB2312"/>
          <w:color w:val="FF0000"/>
          <w:sz w:val="28"/>
          <w:szCs w:val="28"/>
        </w:rPr>
      </w:pPr>
      <w:r>
        <w:rPr>
          <w:rFonts w:hint="eastAsia" w:ascii="仿宋_GB2312" w:hAnsi="宋体" w:eastAsia="仿宋_GB2312"/>
          <w:sz w:val="28"/>
          <w:szCs w:val="28"/>
        </w:rPr>
        <w:t>采购需求：泰兴市文化博览中心区域室内面积约8350平方米：室外面积约10000平方米的大环境（含停车场、廊、路、坊牌、景观河、绿化带）场地，安保、保洁、绿化、</w:t>
      </w:r>
      <w:r>
        <w:rPr>
          <w:rFonts w:hint="eastAsia" w:ascii="仿宋_GB2312" w:hAnsi="宋体" w:eastAsia="仿宋_GB2312"/>
          <w:color w:val="FF0000"/>
          <w:sz w:val="28"/>
          <w:szCs w:val="28"/>
          <w:lang w:val="en-US" w:eastAsia="zh-CN"/>
        </w:rPr>
        <w:t>消控值班和消防维保</w:t>
      </w:r>
      <w:r>
        <w:rPr>
          <w:rFonts w:hint="eastAsia" w:ascii="仿宋_GB2312" w:hAnsi="宋体" w:eastAsia="仿宋_GB2312"/>
          <w:color w:val="FF0000"/>
          <w:sz w:val="28"/>
          <w:szCs w:val="28"/>
        </w:rPr>
        <w:t>、电梯维保</w:t>
      </w:r>
      <w:r>
        <w:rPr>
          <w:rFonts w:hint="eastAsia" w:ascii="仿宋_GB2312" w:hAnsi="宋体" w:eastAsia="仿宋_GB2312"/>
          <w:sz w:val="28"/>
          <w:szCs w:val="28"/>
        </w:rPr>
        <w:t>、停车场管理、垃圾清运等。及朱东润旧居占地面积943平方米</w:t>
      </w:r>
      <w:r>
        <w:rPr>
          <w:rFonts w:hint="eastAsia" w:ascii="仿宋_GB2312" w:hAnsi="宋体" w:eastAsia="仿宋_GB2312"/>
          <w:sz w:val="28"/>
          <w:szCs w:val="28"/>
          <w:lang w:eastAsia="zh-CN"/>
        </w:rPr>
        <w:t>，</w:t>
      </w:r>
      <w:r>
        <w:rPr>
          <w:rFonts w:hint="eastAsia" w:ascii="仿宋_GB2312" w:hAnsi="宋体" w:eastAsia="仿宋_GB2312"/>
          <w:sz w:val="28"/>
          <w:szCs w:val="28"/>
        </w:rPr>
        <w:t>安保、</w:t>
      </w:r>
      <w:r>
        <w:rPr>
          <w:rFonts w:hint="eastAsia" w:ascii="仿宋_GB2312" w:hAnsi="宋体" w:eastAsia="仿宋_GB2312"/>
          <w:color w:val="FF0000"/>
          <w:sz w:val="28"/>
          <w:szCs w:val="28"/>
          <w:lang w:val="en-US" w:eastAsia="zh-CN"/>
        </w:rPr>
        <w:t>消控值班和消防维保</w:t>
      </w:r>
      <w:r>
        <w:rPr>
          <w:rFonts w:hint="eastAsia" w:ascii="仿宋_GB2312" w:hAnsi="宋体" w:eastAsia="仿宋_GB2312"/>
          <w:color w:val="FF0000"/>
          <w:sz w:val="28"/>
          <w:szCs w:val="28"/>
        </w:rPr>
        <w:t>等</w:t>
      </w:r>
      <w:r>
        <w:rPr>
          <w:rFonts w:hint="eastAsia" w:ascii="仿宋_GB2312" w:hAnsi="宋体" w:eastAsia="仿宋_GB2312"/>
          <w:sz w:val="28"/>
          <w:szCs w:val="28"/>
          <w:lang w:eastAsia="zh-CN"/>
        </w:rPr>
        <w:t>，</w:t>
      </w:r>
      <w:r>
        <w:rPr>
          <w:rFonts w:hint="eastAsia" w:ascii="仿宋_GB2312" w:hAnsi="宋体" w:eastAsia="仿宋_GB2312"/>
          <w:sz w:val="28"/>
          <w:szCs w:val="28"/>
        </w:rPr>
        <w:t>即物业综合管理服务</w:t>
      </w:r>
      <w:r>
        <w:rPr>
          <w:rFonts w:hint="eastAsia" w:ascii="仿宋_GB2312" w:hAnsi="宋体" w:eastAsia="仿宋_GB2312"/>
          <w:sz w:val="28"/>
          <w:szCs w:val="28"/>
          <w:lang w:val="en-US" w:eastAsia="zh-CN"/>
        </w:rPr>
        <w:t>总</w:t>
      </w:r>
      <w:r>
        <w:rPr>
          <w:rFonts w:hint="eastAsia" w:ascii="仿宋_GB2312" w:hAnsi="宋体" w:eastAsia="仿宋_GB2312"/>
          <w:sz w:val="28"/>
          <w:szCs w:val="28"/>
        </w:rPr>
        <w:t>面积</w:t>
      </w:r>
      <w:r>
        <w:rPr>
          <w:rFonts w:hint="eastAsia" w:ascii="仿宋_GB2312" w:hAnsi="宋体" w:eastAsia="仿宋_GB2312"/>
          <w:sz w:val="28"/>
          <w:szCs w:val="28"/>
          <w:lang w:val="en-US" w:eastAsia="zh-CN"/>
        </w:rPr>
        <w:t>约2</w:t>
      </w:r>
      <w:r>
        <w:rPr>
          <w:rFonts w:hint="eastAsia" w:ascii="仿宋_GB2312" w:hAnsi="宋体" w:eastAsia="仿宋_GB2312"/>
          <w:sz w:val="28"/>
          <w:szCs w:val="28"/>
        </w:rPr>
        <w:t>万平方米。详见竞争性磋商文件第五章。</w:t>
      </w:r>
    </w:p>
    <w:p w14:paraId="14B00092">
      <w:pPr>
        <w:adjustRightInd w:val="0"/>
        <w:snapToGrid w:val="0"/>
        <w:spacing w:line="560" w:lineRule="exact"/>
        <w:ind w:firstLine="560" w:firstLineChars="200"/>
        <w:rPr>
          <w:rFonts w:ascii="仿宋_GB2312" w:hAnsi="宋体" w:eastAsia="仿宋_GB2312"/>
          <w:sz w:val="28"/>
          <w:szCs w:val="28"/>
          <w:highlight w:val="none"/>
        </w:rPr>
      </w:pPr>
      <w:r>
        <w:rPr>
          <w:rFonts w:hint="eastAsia" w:ascii="仿宋_GB2312" w:hAnsi="宋体" w:eastAsia="仿宋_GB2312"/>
          <w:sz w:val="28"/>
          <w:szCs w:val="28"/>
        </w:rPr>
        <w:t>合同履行期限：服务期限为三年，采取一次采购</w:t>
      </w:r>
      <w:r>
        <w:rPr>
          <w:rFonts w:hint="eastAsia" w:ascii="仿宋_GB2312" w:hAnsi="宋体" w:eastAsia="仿宋_GB2312"/>
          <w:sz w:val="28"/>
          <w:szCs w:val="28"/>
          <w:lang w:val="en-US" w:eastAsia="zh-CN"/>
        </w:rPr>
        <w:t>三</w:t>
      </w:r>
      <w:r>
        <w:rPr>
          <w:rFonts w:hint="eastAsia" w:ascii="仿宋_GB2312" w:hAnsi="宋体" w:eastAsia="仿宋_GB2312"/>
          <w:sz w:val="28"/>
          <w:szCs w:val="28"/>
        </w:rPr>
        <w:t>年沿用，实行一年一考核一签合同的办法。</w:t>
      </w:r>
      <w:r>
        <w:rPr>
          <w:rFonts w:hint="eastAsia" w:ascii="仿宋_GB2312" w:hAnsi="宋体" w:eastAsia="仿宋_GB2312"/>
          <w:sz w:val="28"/>
          <w:szCs w:val="28"/>
          <w:highlight w:val="none"/>
        </w:rPr>
        <w:t>如果成交人年度考核和满意率测评不合格，采购人有权终止合同，不再续签下一年合同。</w:t>
      </w:r>
    </w:p>
    <w:p w14:paraId="7AF84C29">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本项目（是/否）接受联合体投标：不接受联合体。</w:t>
      </w:r>
    </w:p>
    <w:p w14:paraId="13CA5E3C">
      <w:pPr>
        <w:adjustRightInd w:val="0"/>
        <w:snapToGrid w:val="0"/>
        <w:spacing w:line="560" w:lineRule="exact"/>
        <w:ind w:firstLine="560" w:firstLineChars="200"/>
        <w:rPr>
          <w:rFonts w:hint="eastAsia" w:ascii="黑体" w:hAnsi="黑体" w:eastAsia="黑体"/>
          <w:sz w:val="28"/>
          <w:szCs w:val="28"/>
        </w:rPr>
      </w:pPr>
      <w:r>
        <w:rPr>
          <w:rFonts w:hint="eastAsia" w:ascii="黑体" w:hAnsi="黑体" w:eastAsia="黑体"/>
          <w:sz w:val="28"/>
          <w:szCs w:val="28"/>
        </w:rPr>
        <w:t>二、申请人的资格要求</w:t>
      </w:r>
    </w:p>
    <w:p w14:paraId="730139AB">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（一）满足《中华人民共和国政府采购法》第二十二条规定；</w:t>
      </w:r>
    </w:p>
    <w:p w14:paraId="25C53F0E">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（二）落实政府采购政策需满足的资格要求：本项目为专门面向中小企业的项目；</w:t>
      </w:r>
    </w:p>
    <w:p w14:paraId="07788D06">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（三）本项目的特定资格要求：无。</w:t>
      </w:r>
    </w:p>
    <w:p w14:paraId="08D4C518">
      <w:pPr>
        <w:adjustRightInd w:val="0"/>
        <w:snapToGrid w:val="0"/>
        <w:spacing w:line="560" w:lineRule="exact"/>
        <w:ind w:firstLine="560" w:firstLineChars="200"/>
        <w:rPr>
          <w:rFonts w:ascii="黑体" w:hAnsi="黑体" w:eastAsia="黑体"/>
          <w:sz w:val="28"/>
          <w:szCs w:val="28"/>
        </w:rPr>
      </w:pPr>
      <w:r>
        <w:rPr>
          <w:rFonts w:hint="eastAsia" w:ascii="黑体" w:hAnsi="黑体" w:eastAsia="黑体"/>
          <w:sz w:val="28"/>
          <w:szCs w:val="28"/>
        </w:rPr>
        <w:t>三、获取采购文件</w:t>
      </w:r>
    </w:p>
    <w:p w14:paraId="56E8E32D">
      <w:pPr>
        <w:adjustRightInd w:val="0"/>
        <w:snapToGrid w:val="0"/>
        <w:spacing w:line="560" w:lineRule="exact"/>
        <w:ind w:firstLine="560" w:firstLineChars="200"/>
        <w:rPr>
          <w:rFonts w:ascii="仿宋_GB2312" w:hAnsi="宋体" w:eastAsia="仿宋_GB2312"/>
          <w:sz w:val="28"/>
          <w:szCs w:val="28"/>
        </w:rPr>
      </w:pPr>
      <w:r>
        <w:rPr>
          <w:rFonts w:eastAsia="仿宋_GB2312"/>
          <w:sz w:val="28"/>
          <w:szCs w:val="28"/>
        </w:rPr>
        <w:t>1.</w:t>
      </w:r>
      <w:r>
        <w:rPr>
          <w:rFonts w:hint="eastAsia" w:ascii="仿宋_GB2312" w:hAnsi="宋体" w:eastAsia="仿宋_GB2312"/>
          <w:sz w:val="28"/>
          <w:szCs w:val="28"/>
        </w:rPr>
        <w:t>获取时间：自磋商文件公告发布之日起5个工作日。</w:t>
      </w:r>
    </w:p>
    <w:p w14:paraId="01D2D4C5">
      <w:pPr>
        <w:adjustRightInd w:val="0"/>
        <w:snapToGrid w:val="0"/>
        <w:spacing w:line="560" w:lineRule="exact"/>
        <w:ind w:firstLine="560" w:firstLineChars="200"/>
        <w:rPr>
          <w:rFonts w:ascii="仿宋_GB2312" w:hAnsi="宋体" w:eastAsia="仿宋_GB2312"/>
          <w:sz w:val="28"/>
          <w:szCs w:val="28"/>
        </w:rPr>
      </w:pPr>
      <w:r>
        <w:rPr>
          <w:rFonts w:eastAsia="仿宋_GB2312"/>
          <w:sz w:val="28"/>
          <w:szCs w:val="28"/>
        </w:rPr>
        <w:t>2.</w:t>
      </w:r>
      <w:r>
        <w:rPr>
          <w:rFonts w:hint="eastAsia" w:ascii="仿宋_GB2312" w:hAnsi="宋体" w:eastAsia="仿宋_GB2312"/>
          <w:sz w:val="28"/>
          <w:szCs w:val="28"/>
        </w:rPr>
        <w:t>地点：“苏采云”政府采购一体化平台。</w:t>
      </w:r>
    </w:p>
    <w:p w14:paraId="33CA25AD">
      <w:pPr>
        <w:adjustRightInd w:val="0"/>
        <w:snapToGrid w:val="0"/>
        <w:spacing w:line="560" w:lineRule="exact"/>
        <w:ind w:firstLine="560" w:firstLineChars="200"/>
        <w:rPr>
          <w:rFonts w:ascii="仿宋_GB2312" w:hAnsi="宋体" w:eastAsia="仿宋_GB2312"/>
          <w:sz w:val="28"/>
          <w:szCs w:val="28"/>
        </w:rPr>
      </w:pPr>
      <w:r>
        <w:rPr>
          <w:rFonts w:eastAsia="仿宋_GB2312"/>
          <w:sz w:val="28"/>
          <w:szCs w:val="28"/>
        </w:rPr>
        <w:t>3.</w:t>
      </w:r>
      <w:r>
        <w:rPr>
          <w:rFonts w:hint="eastAsia" w:ascii="仿宋_GB2312" w:hAnsi="宋体" w:eastAsia="仿宋_GB2312"/>
          <w:sz w:val="28"/>
          <w:szCs w:val="28"/>
        </w:rPr>
        <w:t>获取方式：线上获取。</w:t>
      </w:r>
    </w:p>
    <w:p w14:paraId="3A233DCE">
      <w:pPr>
        <w:adjustRightInd w:val="0"/>
        <w:snapToGrid w:val="0"/>
        <w:spacing w:line="560" w:lineRule="exact"/>
        <w:ind w:firstLine="560" w:firstLineChars="200"/>
        <w:rPr>
          <w:rFonts w:ascii="仿宋_GB2312" w:hAnsi="宋体" w:eastAsia="仿宋_GB2312"/>
          <w:sz w:val="28"/>
          <w:szCs w:val="28"/>
        </w:rPr>
      </w:pPr>
      <w:r>
        <w:rPr>
          <w:rFonts w:eastAsia="仿宋_GB2312"/>
          <w:sz w:val="28"/>
          <w:szCs w:val="28"/>
        </w:rPr>
        <w:t>4.</w:t>
      </w:r>
      <w:r>
        <w:rPr>
          <w:rFonts w:hint="eastAsia" w:ascii="仿宋_GB2312" w:hAnsi="宋体" w:eastAsia="仿宋_GB2312"/>
          <w:sz w:val="28"/>
          <w:szCs w:val="28"/>
        </w:rPr>
        <w:t>售价：免费。</w:t>
      </w:r>
    </w:p>
    <w:p w14:paraId="4567717B">
      <w:pPr>
        <w:adjustRightInd w:val="0"/>
        <w:snapToGrid w:val="0"/>
        <w:spacing w:line="560" w:lineRule="exact"/>
        <w:ind w:firstLine="560" w:firstLineChars="200"/>
        <w:rPr>
          <w:rFonts w:ascii="黑体" w:hAnsi="黑体" w:eastAsia="黑体"/>
          <w:sz w:val="28"/>
          <w:szCs w:val="28"/>
        </w:rPr>
      </w:pPr>
      <w:r>
        <w:rPr>
          <w:rFonts w:hint="eastAsia" w:ascii="黑体" w:hAnsi="黑体" w:eastAsia="黑体"/>
          <w:sz w:val="28"/>
          <w:szCs w:val="28"/>
        </w:rPr>
        <w:t>四、提交首次响应文件</w:t>
      </w:r>
    </w:p>
    <w:p w14:paraId="079F3A52">
      <w:pPr>
        <w:adjustRightInd w:val="0"/>
        <w:snapToGrid w:val="0"/>
        <w:spacing w:line="560" w:lineRule="exact"/>
        <w:ind w:firstLine="560" w:firstLineChars="200"/>
        <w:rPr>
          <w:rFonts w:ascii="仿宋_GB2312" w:hAnsi="宋体" w:eastAsia="仿宋_GB2312"/>
          <w:sz w:val="28"/>
          <w:szCs w:val="28"/>
        </w:rPr>
      </w:pPr>
      <w:r>
        <w:rPr>
          <w:rFonts w:eastAsia="仿宋_GB2312"/>
          <w:sz w:val="28"/>
          <w:szCs w:val="28"/>
        </w:rPr>
        <w:t>1.</w:t>
      </w:r>
      <w:r>
        <w:rPr>
          <w:rFonts w:hint="eastAsia" w:ascii="仿宋_GB2312" w:hAnsi="宋体" w:eastAsia="仿宋_GB2312"/>
          <w:sz w:val="28"/>
          <w:szCs w:val="28"/>
        </w:rPr>
        <w:t>截止时间：</w:t>
      </w:r>
      <w:r>
        <w:rPr>
          <w:rFonts w:hint="eastAsia" w:ascii="仿宋" w:hAnsi="仿宋" w:eastAsia="仿宋" w:cs="仿宋"/>
          <w:sz w:val="28"/>
          <w:szCs w:val="28"/>
        </w:rPr>
        <w:t>202</w:t>
      </w:r>
      <w:r>
        <w:rPr>
          <w:rFonts w:hint="eastAsia" w:ascii="仿宋" w:hAnsi="仿宋" w:eastAsia="仿宋" w:cs="仿宋"/>
          <w:sz w:val="28"/>
          <w:szCs w:val="28"/>
          <w:lang w:val="en-US" w:eastAsia="zh-CN"/>
        </w:rPr>
        <w:t>6</w:t>
      </w:r>
      <w:r>
        <w:rPr>
          <w:rFonts w:hint="eastAsia" w:ascii="仿宋" w:hAnsi="仿宋" w:eastAsia="仿宋" w:cs="仿宋"/>
          <w:sz w:val="28"/>
          <w:szCs w:val="28"/>
        </w:rPr>
        <w:t>-</w:t>
      </w:r>
      <w:r>
        <w:rPr>
          <w:rFonts w:hint="eastAsia" w:ascii="仿宋" w:hAnsi="仿宋" w:eastAsia="仿宋" w:cs="仿宋"/>
          <w:sz w:val="28"/>
          <w:szCs w:val="28"/>
          <w:lang w:val="en-US" w:eastAsia="zh-CN"/>
        </w:rPr>
        <w:t>06</w:t>
      </w:r>
      <w:r>
        <w:rPr>
          <w:rFonts w:hint="eastAsia" w:ascii="仿宋" w:hAnsi="仿宋" w:eastAsia="仿宋" w:cs="仿宋"/>
          <w:sz w:val="28"/>
          <w:szCs w:val="28"/>
        </w:rPr>
        <w:t>-</w:t>
      </w:r>
      <w:r>
        <w:rPr>
          <w:rFonts w:hint="eastAsia" w:ascii="仿宋" w:hAnsi="仿宋" w:eastAsia="仿宋" w:cs="仿宋"/>
          <w:sz w:val="28"/>
          <w:szCs w:val="28"/>
          <w:lang w:val="en-US" w:eastAsia="zh-CN"/>
        </w:rPr>
        <w:t>12</w:t>
      </w:r>
      <w:r>
        <w:rPr>
          <w:rFonts w:ascii="仿宋" w:hAnsi="仿宋" w:eastAsia="仿宋" w:cs="仿宋"/>
          <w:sz w:val="28"/>
          <w:szCs w:val="28"/>
        </w:rPr>
        <w:t xml:space="preserve">  </w:t>
      </w:r>
      <w:r>
        <w:rPr>
          <w:rFonts w:hint="eastAsia" w:ascii="仿宋" w:hAnsi="仿宋" w:eastAsia="仿宋" w:cs="仿宋"/>
          <w:sz w:val="28"/>
          <w:szCs w:val="28"/>
        </w:rPr>
        <w:t xml:space="preserve">  09:00（北京时间）。</w:t>
      </w:r>
    </w:p>
    <w:p w14:paraId="7EA1DDBE">
      <w:pPr>
        <w:adjustRightInd w:val="0"/>
        <w:snapToGrid w:val="0"/>
        <w:spacing w:line="560" w:lineRule="exact"/>
        <w:ind w:firstLine="560" w:firstLineChars="200"/>
        <w:rPr>
          <w:rFonts w:ascii="仿宋_GB2312" w:hAnsi="宋体" w:eastAsia="仿宋_GB2312"/>
          <w:sz w:val="28"/>
          <w:szCs w:val="28"/>
        </w:rPr>
      </w:pPr>
      <w:r>
        <w:rPr>
          <w:rFonts w:eastAsia="仿宋_GB2312"/>
          <w:sz w:val="28"/>
          <w:szCs w:val="28"/>
        </w:rPr>
        <w:t>2.</w:t>
      </w:r>
      <w:r>
        <w:rPr>
          <w:rFonts w:hint="eastAsia" w:ascii="仿宋_GB2312" w:hAnsi="宋体" w:eastAsia="仿宋_GB2312"/>
          <w:sz w:val="28"/>
          <w:szCs w:val="28"/>
        </w:rPr>
        <w:t>地点：“苏采云”政府采购一体化平台。</w:t>
      </w:r>
    </w:p>
    <w:p w14:paraId="07990E52">
      <w:pPr>
        <w:adjustRightInd w:val="0"/>
        <w:snapToGrid w:val="0"/>
        <w:spacing w:line="560" w:lineRule="exact"/>
        <w:ind w:firstLine="560" w:firstLineChars="200"/>
        <w:rPr>
          <w:rFonts w:ascii="黑体" w:hAnsi="黑体" w:eastAsia="黑体"/>
          <w:sz w:val="28"/>
          <w:szCs w:val="28"/>
        </w:rPr>
      </w:pPr>
      <w:r>
        <w:rPr>
          <w:rFonts w:hint="eastAsia" w:ascii="黑体" w:hAnsi="黑体" w:eastAsia="黑体"/>
          <w:sz w:val="28"/>
          <w:szCs w:val="28"/>
        </w:rPr>
        <w:t>五、开启</w:t>
      </w:r>
    </w:p>
    <w:p w14:paraId="17E7BC43">
      <w:pPr>
        <w:adjustRightInd w:val="0"/>
        <w:snapToGrid w:val="0"/>
        <w:spacing w:line="560" w:lineRule="exact"/>
        <w:ind w:firstLine="560" w:firstLineChars="200"/>
        <w:rPr>
          <w:rFonts w:ascii="仿宋_GB2312" w:hAnsi="宋体" w:eastAsia="仿宋_GB2312"/>
          <w:color w:val="auto"/>
          <w:sz w:val="28"/>
          <w:szCs w:val="28"/>
        </w:rPr>
      </w:pPr>
      <w:r>
        <w:rPr>
          <w:rFonts w:eastAsia="仿宋_GB2312"/>
          <w:color w:val="auto"/>
          <w:sz w:val="28"/>
          <w:szCs w:val="28"/>
        </w:rPr>
        <w:t>1.</w:t>
      </w:r>
      <w:r>
        <w:rPr>
          <w:rFonts w:hint="eastAsia" w:ascii="仿宋_GB2312" w:hAnsi="宋体" w:eastAsia="仿宋_GB2312"/>
          <w:color w:val="auto"/>
          <w:sz w:val="28"/>
          <w:szCs w:val="28"/>
        </w:rPr>
        <w:t>时间</w:t>
      </w:r>
      <w:r>
        <w:rPr>
          <w:rFonts w:hint="eastAsia" w:ascii="仿宋" w:hAnsi="仿宋" w:eastAsia="仿宋" w:cs="仿宋"/>
          <w:color w:val="auto"/>
          <w:sz w:val="28"/>
          <w:szCs w:val="28"/>
        </w:rPr>
        <w:t>：202</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06</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12</w:t>
      </w:r>
      <w:r>
        <w:rPr>
          <w:rFonts w:hint="eastAsia" w:ascii="仿宋" w:hAnsi="仿宋" w:eastAsia="仿宋" w:cs="仿宋"/>
          <w:color w:val="auto"/>
          <w:sz w:val="28"/>
          <w:szCs w:val="28"/>
        </w:rPr>
        <w:t xml:space="preserve">  09:00（北京时间）。</w:t>
      </w:r>
    </w:p>
    <w:p w14:paraId="73B5CC1F">
      <w:pPr>
        <w:adjustRightInd w:val="0"/>
        <w:snapToGrid w:val="0"/>
        <w:spacing w:line="560" w:lineRule="exact"/>
        <w:ind w:firstLine="560" w:firstLineChars="200"/>
        <w:rPr>
          <w:rFonts w:ascii="仿宋_GB2312" w:hAnsi="宋体" w:eastAsia="仿宋_GB2312"/>
          <w:sz w:val="28"/>
          <w:szCs w:val="28"/>
        </w:rPr>
      </w:pPr>
      <w:r>
        <w:rPr>
          <w:rFonts w:eastAsia="仿宋_GB2312"/>
          <w:sz w:val="28"/>
          <w:szCs w:val="28"/>
        </w:rPr>
        <w:t>2.</w:t>
      </w:r>
      <w:r>
        <w:rPr>
          <w:rFonts w:hint="eastAsia" w:ascii="仿宋_GB2312" w:hAnsi="宋体" w:eastAsia="仿宋_GB2312"/>
          <w:sz w:val="28"/>
          <w:szCs w:val="28"/>
        </w:rPr>
        <w:t>地点：</w:t>
      </w:r>
      <w:r>
        <w:rPr>
          <w:rFonts w:ascii="仿宋" w:hAnsi="仿宋" w:eastAsia="仿宋" w:cs="仿宋"/>
          <w:sz w:val="28"/>
          <w:szCs w:val="28"/>
        </w:rPr>
        <w:t>“苏采云”系统“开标大厅”</w:t>
      </w:r>
    </w:p>
    <w:p w14:paraId="0262D78E">
      <w:pPr>
        <w:adjustRightInd w:val="0"/>
        <w:snapToGrid w:val="0"/>
        <w:spacing w:line="560" w:lineRule="exact"/>
        <w:ind w:firstLine="560" w:firstLineChars="200"/>
        <w:rPr>
          <w:rFonts w:ascii="黑体" w:hAnsi="黑体" w:eastAsia="黑体"/>
          <w:sz w:val="28"/>
          <w:szCs w:val="28"/>
        </w:rPr>
      </w:pPr>
      <w:r>
        <w:rPr>
          <w:rFonts w:hint="eastAsia" w:ascii="黑体" w:hAnsi="黑体" w:eastAsia="黑体"/>
          <w:sz w:val="28"/>
          <w:szCs w:val="28"/>
        </w:rPr>
        <w:t>六、公告期限</w:t>
      </w:r>
    </w:p>
    <w:p w14:paraId="65BE7C1F">
      <w:pPr>
        <w:adjustRightInd w:val="0"/>
        <w:snapToGrid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自本公告发布之日起</w:t>
      </w:r>
      <w:r>
        <w:rPr>
          <w:rFonts w:hint="eastAsia" w:ascii="仿宋_GB2312" w:hAnsi="宋体" w:eastAsia="仿宋_GB2312"/>
          <w:color w:val="auto"/>
          <w:sz w:val="28"/>
          <w:szCs w:val="28"/>
        </w:rPr>
        <w:t>5</w:t>
      </w:r>
      <w:r>
        <w:rPr>
          <w:rFonts w:hint="eastAsia" w:ascii="仿宋_GB2312" w:hAnsi="宋体" w:eastAsia="仿宋_GB2312"/>
          <w:sz w:val="28"/>
          <w:szCs w:val="28"/>
        </w:rPr>
        <w:t>个工作日。</w:t>
      </w:r>
    </w:p>
    <w:p w14:paraId="081875FC">
      <w:pPr>
        <w:adjustRightInd w:val="0"/>
        <w:snapToGrid w:val="0"/>
        <w:spacing w:line="560" w:lineRule="exact"/>
        <w:ind w:firstLine="560" w:firstLineChars="200"/>
        <w:rPr>
          <w:rFonts w:ascii="黑体" w:hAnsi="黑体" w:eastAsia="黑体"/>
          <w:sz w:val="28"/>
          <w:szCs w:val="28"/>
        </w:rPr>
      </w:pPr>
      <w:r>
        <w:rPr>
          <w:rFonts w:hint="eastAsia" w:ascii="黑体" w:hAnsi="黑体" w:eastAsia="黑体"/>
          <w:sz w:val="28"/>
          <w:szCs w:val="28"/>
        </w:rPr>
        <w:t>七、其他补充事宜</w:t>
      </w:r>
    </w:p>
    <w:p w14:paraId="4055C68A">
      <w:pPr>
        <w:adjustRightInd w:val="0"/>
        <w:snapToGrid w:val="0"/>
        <w:spacing w:line="500" w:lineRule="exact"/>
        <w:ind w:firstLine="560" w:firstLineChars="200"/>
        <w:rPr>
          <w:rFonts w:ascii="仿宋_GB2312" w:hAnsi="宋体" w:eastAsia="仿宋_GB2312"/>
          <w:sz w:val="28"/>
          <w:szCs w:val="28"/>
        </w:rPr>
      </w:pPr>
      <w:r>
        <w:rPr>
          <w:rFonts w:eastAsia="仿宋_GB2312"/>
          <w:sz w:val="28"/>
          <w:szCs w:val="28"/>
        </w:rPr>
        <w:t>1.</w:t>
      </w:r>
      <w:r>
        <w:rPr>
          <w:rFonts w:hint="eastAsia" w:ascii="仿宋_GB2312" w:hAnsi="宋体" w:eastAsia="仿宋_GB2312"/>
          <w:sz w:val="28"/>
          <w:szCs w:val="28"/>
        </w:rPr>
        <w:t>磋商保证金：无须缴纳。</w:t>
      </w:r>
    </w:p>
    <w:p w14:paraId="1E76B30B">
      <w:pPr>
        <w:pStyle w:val="14"/>
        <w:spacing w:line="500" w:lineRule="exact"/>
        <w:ind w:firstLine="560" w:firstLineChars="200"/>
        <w:rPr>
          <w:rFonts w:ascii="仿宋_GB2312" w:hAnsi="宋体" w:eastAsia="仿宋_GB2312"/>
          <w:sz w:val="28"/>
          <w:szCs w:val="28"/>
        </w:rPr>
      </w:pPr>
      <w:r>
        <w:rPr>
          <w:rFonts w:ascii="Times New Roman" w:eastAsia="仿宋_GB2312"/>
          <w:sz w:val="28"/>
          <w:szCs w:val="28"/>
        </w:rPr>
        <w:t>2.</w:t>
      </w:r>
      <w:r>
        <w:rPr>
          <w:rFonts w:hint="eastAsia" w:ascii="仿宋_GB2312" w:hAnsi="宋体" w:eastAsia="仿宋_GB2312"/>
          <w:sz w:val="28"/>
          <w:szCs w:val="28"/>
        </w:rPr>
        <w:t>采购信息发布媒介：江苏政府采购网（</w:t>
      </w:r>
      <w:r>
        <w:rPr>
          <w:rFonts w:ascii="Times New Roman" w:eastAsia="仿宋_GB2312"/>
          <w:sz w:val="28"/>
          <w:szCs w:val="28"/>
        </w:rPr>
        <w:t>www.ccgp-jiangsu.gov.cn</w:t>
      </w:r>
      <w:r>
        <w:rPr>
          <w:rFonts w:hint="eastAsia" w:ascii="仿宋_GB2312" w:hAnsi="宋体" w:eastAsia="仿宋_GB2312"/>
          <w:sz w:val="28"/>
          <w:szCs w:val="28"/>
        </w:rPr>
        <w:t>）。</w:t>
      </w:r>
    </w:p>
    <w:p w14:paraId="22780E6C">
      <w:pPr>
        <w:pStyle w:val="14"/>
        <w:spacing w:line="500" w:lineRule="exact"/>
        <w:rPr>
          <w:rFonts w:ascii="仿宋_GB2312" w:hAnsi="宋体" w:eastAsia="仿宋_GB2312"/>
          <w:color w:val="FF0000"/>
          <w:sz w:val="28"/>
          <w:szCs w:val="28"/>
        </w:rPr>
      </w:pPr>
      <w:r>
        <w:rPr>
          <w:rFonts w:hint="eastAsia" w:ascii="Times New Roman" w:eastAsia="仿宋_GB2312"/>
          <w:sz w:val="28"/>
          <w:szCs w:val="28"/>
        </w:rPr>
        <w:t xml:space="preserve">    3.本项目属于政府采购服务类项目。</w:t>
      </w:r>
    </w:p>
    <w:p w14:paraId="1F9EA175">
      <w:pPr>
        <w:spacing w:line="500" w:lineRule="exact"/>
        <w:ind w:firstLine="562" w:firstLineChars="200"/>
        <w:rPr>
          <w:rFonts w:ascii="仿宋_GB2312" w:hAnsi="宋体" w:eastAsia="仿宋_GB2312"/>
          <w:b/>
          <w:sz w:val="28"/>
          <w:szCs w:val="28"/>
        </w:rPr>
      </w:pPr>
      <w:r>
        <w:rPr>
          <w:rFonts w:hint="eastAsia" w:eastAsia="仿宋_GB2312"/>
          <w:b/>
          <w:sz w:val="28"/>
          <w:szCs w:val="28"/>
        </w:rPr>
        <w:t>4</w:t>
      </w:r>
      <w:r>
        <w:rPr>
          <w:rFonts w:eastAsia="仿宋_GB2312"/>
          <w:b/>
          <w:sz w:val="28"/>
          <w:szCs w:val="28"/>
        </w:rPr>
        <w:t>.</w:t>
      </w:r>
      <w:r>
        <w:rPr>
          <w:rFonts w:hint="eastAsia" w:ascii="仿宋_GB2312" w:hAnsi="宋体" w:eastAsia="仿宋_GB2312"/>
          <w:b/>
          <w:sz w:val="28"/>
          <w:szCs w:val="28"/>
        </w:rPr>
        <w:t>注意事项：</w:t>
      </w:r>
    </w:p>
    <w:p w14:paraId="1793FED5">
      <w:pPr>
        <w:spacing w:line="500" w:lineRule="exact"/>
        <w:ind w:firstLine="562" w:firstLineChars="200"/>
        <w:rPr>
          <w:rFonts w:ascii="仿宋_GB2312" w:hAnsi="宋体" w:eastAsia="仿宋_GB2312"/>
          <w:b/>
          <w:sz w:val="28"/>
          <w:szCs w:val="28"/>
        </w:rPr>
      </w:pPr>
      <w:r>
        <w:rPr>
          <w:rFonts w:eastAsia="仿宋_GB2312"/>
          <w:b/>
          <w:sz w:val="28"/>
          <w:szCs w:val="28"/>
        </w:rPr>
        <w:t>（1）</w:t>
      </w:r>
      <w:r>
        <w:rPr>
          <w:rFonts w:hint="eastAsia" w:ascii="仿宋_GB2312" w:hAnsi="宋体" w:eastAsia="仿宋_GB2312"/>
          <w:b/>
          <w:sz w:val="28"/>
          <w:szCs w:val="28"/>
        </w:rPr>
        <w:t>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1B24382F">
      <w:pPr>
        <w:spacing w:line="500" w:lineRule="exact"/>
        <w:ind w:firstLine="562" w:firstLineChars="200"/>
        <w:rPr>
          <w:rFonts w:ascii="仿宋_GB2312" w:hAnsi="宋体" w:eastAsia="仿宋_GB2312"/>
          <w:b/>
          <w:sz w:val="28"/>
          <w:szCs w:val="28"/>
        </w:rPr>
      </w:pPr>
      <w:r>
        <w:rPr>
          <w:rFonts w:eastAsia="仿宋_GB2312"/>
          <w:b/>
          <w:sz w:val="28"/>
          <w:szCs w:val="28"/>
        </w:rPr>
        <w:t>（2）</w:t>
      </w:r>
      <w:r>
        <w:rPr>
          <w:rFonts w:hint="eastAsia" w:ascii="仿宋_GB2312" w:hAnsi="宋体" w:eastAsia="仿宋_GB2312"/>
          <w:b/>
          <w:sz w:val="28"/>
          <w:szCs w:val="28"/>
        </w:rPr>
        <w:t>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3F38171F">
      <w:pPr>
        <w:spacing w:line="500" w:lineRule="exact"/>
        <w:ind w:firstLine="562" w:firstLineChars="200"/>
        <w:rPr>
          <w:rFonts w:ascii="仿宋_GB2312" w:hAnsi="宋体" w:eastAsia="仿宋_GB2312"/>
          <w:b/>
          <w:sz w:val="28"/>
          <w:szCs w:val="28"/>
        </w:rPr>
      </w:pPr>
      <w:r>
        <w:rPr>
          <w:rFonts w:eastAsia="仿宋_GB2312"/>
          <w:b/>
          <w:sz w:val="28"/>
          <w:szCs w:val="28"/>
        </w:rPr>
        <w:t>（3）</w:t>
      </w:r>
      <w:r>
        <w:rPr>
          <w:rFonts w:hint="eastAsia" w:ascii="仿宋_GB2312" w:hAnsi="宋体" w:eastAsia="仿宋_GB2312"/>
          <w:b/>
          <w:sz w:val="28"/>
          <w:szCs w:val="28"/>
        </w:rPr>
        <w:t>有关本次招标的事项若存在变动或修改，敬请及时关注“江苏政府采购网”发布的更正公告。</w:t>
      </w:r>
    </w:p>
    <w:p w14:paraId="6B2047B5">
      <w:pPr>
        <w:adjustRightInd w:val="0"/>
        <w:snapToGrid w:val="0"/>
        <w:spacing w:line="500" w:lineRule="exact"/>
        <w:ind w:firstLine="562" w:firstLineChars="200"/>
        <w:rPr>
          <w:rFonts w:ascii="仿宋_GB2312" w:hAnsi="宋体" w:eastAsia="仿宋_GB2312"/>
          <w:b/>
          <w:sz w:val="28"/>
          <w:szCs w:val="28"/>
        </w:rPr>
      </w:pPr>
      <w:r>
        <w:rPr>
          <w:rFonts w:hint="eastAsia" w:ascii="仿宋_GB2312" w:hAnsi="宋体" w:eastAsia="仿宋_GB2312"/>
          <w:b/>
          <w:sz w:val="28"/>
          <w:szCs w:val="28"/>
        </w:rPr>
        <w:t>如潜在供应商未按上述要求操作，将自行承担所产生的风险。</w:t>
      </w:r>
    </w:p>
    <w:p w14:paraId="7A00B03E">
      <w:pPr>
        <w:spacing w:line="520" w:lineRule="exact"/>
        <w:ind w:firstLine="640"/>
        <w:outlineLvl w:val="1"/>
        <w:rPr>
          <w:rFonts w:eastAsia="黑体"/>
          <w:color w:val="0D0D0D"/>
          <w:sz w:val="28"/>
          <w:szCs w:val="28"/>
        </w:rPr>
      </w:pPr>
      <w:r>
        <w:rPr>
          <w:rFonts w:hint="eastAsia" w:eastAsia="黑体"/>
          <w:color w:val="0D0D0D"/>
          <w:sz w:val="28"/>
          <w:szCs w:val="28"/>
        </w:rPr>
        <w:t>八、对本次招标提出询问，请按以下方式联系</w:t>
      </w:r>
      <w:bookmarkEnd w:id="10"/>
      <w:bookmarkEnd w:id="11"/>
      <w:bookmarkEnd w:id="12"/>
      <w:bookmarkEnd w:id="13"/>
    </w:p>
    <w:p w14:paraId="79F95C43">
      <w:pPr>
        <w:adjustRightInd w:val="0"/>
        <w:snapToGrid w:val="0"/>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1.采购人信息</w:t>
      </w:r>
    </w:p>
    <w:p w14:paraId="4FC89CC1">
      <w:pPr>
        <w:adjustRightInd w:val="0"/>
        <w:snapToGrid w:val="0"/>
        <w:spacing w:line="560" w:lineRule="exact"/>
        <w:ind w:firstLine="560" w:firstLineChars="200"/>
        <w:rPr>
          <w:rFonts w:hint="default" w:ascii="仿宋_GB2312" w:hAnsi="宋体" w:eastAsia="仿宋_GB2312"/>
          <w:sz w:val="28"/>
          <w:szCs w:val="28"/>
          <w:lang w:val="en-US" w:eastAsia="zh-CN"/>
        </w:rPr>
      </w:pPr>
      <w:bookmarkStart w:id="14" w:name="_Toc28359009"/>
      <w:bookmarkStart w:id="15" w:name="_Toc28359086"/>
      <w:r>
        <w:rPr>
          <w:rFonts w:hint="eastAsia" w:ascii="仿宋_GB2312" w:hAnsi="宋体" w:eastAsia="仿宋_GB2312"/>
          <w:sz w:val="28"/>
          <w:szCs w:val="28"/>
        </w:rPr>
        <w:t>名 称：</w:t>
      </w:r>
      <w:r>
        <w:rPr>
          <w:rFonts w:hint="eastAsia" w:ascii="仿宋_GB2312" w:hAnsi="宋体" w:eastAsia="仿宋_GB2312"/>
          <w:sz w:val="28"/>
          <w:szCs w:val="28"/>
          <w:lang w:val="en-US" w:eastAsia="zh-CN"/>
        </w:rPr>
        <w:t>泰兴市文化博览中心</w:t>
      </w:r>
    </w:p>
    <w:p w14:paraId="5E327A58">
      <w:pPr>
        <w:adjustRightInd w:val="0"/>
        <w:snapToGrid w:val="0"/>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地 址：泰兴市</w:t>
      </w:r>
      <w:r>
        <w:rPr>
          <w:rFonts w:hint="eastAsia" w:ascii="仿宋_GB2312" w:hAnsi="宋体" w:eastAsia="仿宋_GB2312"/>
          <w:sz w:val="28"/>
          <w:szCs w:val="28"/>
          <w:lang w:val="en-US" w:eastAsia="zh-CN"/>
        </w:rPr>
        <w:t>府前街大会堂路26号</w:t>
      </w:r>
      <w:r>
        <w:rPr>
          <w:rFonts w:hint="eastAsia" w:ascii="仿宋_GB2312" w:hAnsi="宋体" w:eastAsia="仿宋_GB2312"/>
          <w:sz w:val="28"/>
          <w:szCs w:val="28"/>
        </w:rPr>
        <w:t xml:space="preserve"> </w:t>
      </w:r>
    </w:p>
    <w:p w14:paraId="24F56BBA">
      <w:pPr>
        <w:adjustRightInd w:val="0"/>
        <w:snapToGrid w:val="0"/>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联系方式：</w:t>
      </w:r>
      <w:r>
        <w:rPr>
          <w:rFonts w:hint="eastAsia" w:ascii="仿宋_GB2312" w:hAnsi="宋体" w:eastAsia="仿宋_GB2312"/>
          <w:sz w:val="28"/>
          <w:szCs w:val="28"/>
          <w:lang w:val="en-US" w:eastAsia="zh-CN"/>
        </w:rPr>
        <w:t>0523-87612769</w:t>
      </w:r>
      <w:r>
        <w:rPr>
          <w:rFonts w:hint="eastAsia" w:ascii="仿宋_GB2312" w:hAnsi="宋体" w:eastAsia="仿宋_GB2312"/>
          <w:sz w:val="28"/>
          <w:szCs w:val="28"/>
        </w:rPr>
        <w:t xml:space="preserve">           </w:t>
      </w:r>
    </w:p>
    <w:p w14:paraId="6266B737">
      <w:pPr>
        <w:adjustRightInd w:val="0"/>
        <w:snapToGrid w:val="0"/>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2.采购代理机构信息</w:t>
      </w:r>
      <w:bookmarkEnd w:id="14"/>
      <w:bookmarkEnd w:id="15"/>
    </w:p>
    <w:p w14:paraId="049B2D4B">
      <w:pPr>
        <w:adjustRightInd w:val="0"/>
        <w:snapToGrid w:val="0"/>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名称：泰兴市公共资源交易中心</w:t>
      </w:r>
    </w:p>
    <w:p w14:paraId="370969C5">
      <w:pPr>
        <w:adjustRightInd w:val="0"/>
        <w:snapToGrid w:val="0"/>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地　址：泰兴市文昌东路62号四楼406室</w:t>
      </w:r>
    </w:p>
    <w:p w14:paraId="17CB29DF">
      <w:pPr>
        <w:adjustRightInd w:val="0"/>
        <w:snapToGrid w:val="0"/>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联系方式：</w:t>
      </w:r>
      <w:bookmarkStart w:id="16" w:name="_Toc28359010"/>
      <w:bookmarkStart w:id="17" w:name="_Toc28359087"/>
      <w:r>
        <w:rPr>
          <w:rFonts w:hint="eastAsia" w:ascii="仿宋_GB2312" w:hAnsi="宋体" w:eastAsia="仿宋_GB2312"/>
          <w:sz w:val="28"/>
          <w:szCs w:val="28"/>
        </w:rPr>
        <w:t xml:space="preserve"> 0523-87654122</w:t>
      </w:r>
    </w:p>
    <w:p w14:paraId="54CB12DD">
      <w:pPr>
        <w:adjustRightInd w:val="0"/>
        <w:snapToGrid w:val="0"/>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3.项目联系方式</w:t>
      </w:r>
      <w:bookmarkEnd w:id="16"/>
      <w:bookmarkEnd w:id="17"/>
    </w:p>
    <w:p w14:paraId="173AC4A8">
      <w:pPr>
        <w:adjustRightInd w:val="0"/>
        <w:snapToGrid w:val="0"/>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项目联系人：</w:t>
      </w:r>
      <w:r>
        <w:rPr>
          <w:rFonts w:hint="eastAsia" w:ascii="仿宋_GB2312" w:hAnsi="宋体" w:eastAsia="仿宋_GB2312"/>
          <w:sz w:val="28"/>
          <w:szCs w:val="28"/>
          <w:lang w:val="en-US" w:eastAsia="zh-CN"/>
        </w:rPr>
        <w:t>泰兴市文化博览中心</w:t>
      </w:r>
      <w:r>
        <w:rPr>
          <w:rFonts w:hint="eastAsia" w:ascii="仿宋_GB2312" w:hAnsi="宋体" w:eastAsia="仿宋_GB2312"/>
          <w:sz w:val="28"/>
          <w:szCs w:val="28"/>
        </w:rPr>
        <w:t xml:space="preserve">  </w:t>
      </w:r>
      <w:r>
        <w:rPr>
          <w:rFonts w:hint="eastAsia" w:ascii="仿宋_GB2312" w:hAnsi="宋体" w:eastAsia="仿宋_GB2312"/>
          <w:sz w:val="28"/>
          <w:szCs w:val="28"/>
          <w:lang w:val="en-US" w:eastAsia="zh-CN"/>
        </w:rPr>
        <w:t>陈先生</w:t>
      </w:r>
      <w:r>
        <w:rPr>
          <w:rFonts w:hint="eastAsia" w:ascii="仿宋_GB2312" w:hAnsi="宋体" w:eastAsia="仿宋_GB2312"/>
          <w:sz w:val="28"/>
          <w:szCs w:val="28"/>
        </w:rPr>
        <w:t xml:space="preserve"> </w:t>
      </w:r>
    </w:p>
    <w:p w14:paraId="44972BA9">
      <w:pPr>
        <w:adjustRightInd w:val="0"/>
        <w:snapToGrid w:val="0"/>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电　话：</w:t>
      </w:r>
      <w:r>
        <w:rPr>
          <w:rFonts w:hint="eastAsia" w:ascii="仿宋_GB2312" w:hAnsi="宋体" w:eastAsia="仿宋_GB2312"/>
          <w:sz w:val="28"/>
          <w:szCs w:val="28"/>
          <w:lang w:val="en-US" w:eastAsia="zh-CN"/>
        </w:rPr>
        <w:t>0523-87612769</w:t>
      </w:r>
    </w:p>
    <w:p w14:paraId="7672C8EF">
      <w:pPr>
        <w:adjustRightInd w:val="0"/>
        <w:snapToGrid w:val="0"/>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项目联系人：泰兴市公共资源交易中心</w:t>
      </w:r>
      <w:r>
        <w:rPr>
          <w:rFonts w:hint="eastAsia" w:ascii="仿宋_GB2312" w:hAnsi="宋体" w:eastAsia="仿宋_GB2312"/>
          <w:sz w:val="28"/>
          <w:szCs w:val="28"/>
          <w:lang w:val="en-US" w:eastAsia="zh-CN"/>
        </w:rPr>
        <w:t xml:space="preserve">  </w:t>
      </w:r>
      <w:r>
        <w:rPr>
          <w:rFonts w:hint="eastAsia" w:ascii="仿宋_GB2312" w:hAnsi="宋体" w:eastAsia="仿宋_GB2312"/>
          <w:sz w:val="28"/>
          <w:szCs w:val="28"/>
        </w:rPr>
        <w:t>黄女士</w:t>
      </w:r>
    </w:p>
    <w:p w14:paraId="5FEE3738">
      <w:pPr>
        <w:adjustRightInd w:val="0"/>
        <w:snapToGrid w:val="0"/>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电　话：0523-87654122</w:t>
      </w:r>
      <w:r>
        <w:rPr>
          <w:rFonts w:hint="eastAsia" w:ascii="仿宋_GB2312" w:hAnsi="宋体" w:eastAsia="仿宋_GB2312"/>
          <w:sz w:val="28"/>
          <w:szCs w:val="28"/>
        </w:rPr>
        <w:br w:type="page"/>
      </w:r>
    </w:p>
    <w:p w14:paraId="73112A2A">
      <w:pPr>
        <w:pStyle w:val="208"/>
        <w:spacing w:line="500" w:lineRule="exact"/>
        <w:jc w:val="center"/>
        <w:outlineLvl w:val="0"/>
        <w:rPr>
          <w:rFonts w:ascii="Times New Roman" w:eastAsia="方正小标宋_GBK"/>
          <w:color w:val="0D0D0D"/>
          <w:sz w:val="44"/>
          <w:szCs w:val="44"/>
        </w:rPr>
      </w:pPr>
      <w:r>
        <w:rPr>
          <w:rFonts w:hint="eastAsia" w:ascii="Times New Roman" w:eastAsia="方正小标宋_GBK"/>
          <w:color w:val="0D0D0D"/>
          <w:sz w:val="44"/>
          <w:szCs w:val="44"/>
        </w:rPr>
        <w:t>第二章  供应商须知</w:t>
      </w:r>
      <w:bookmarkStart w:id="18" w:name="_Toc426469870"/>
    </w:p>
    <w:p w14:paraId="5F6A52EF">
      <w:pPr>
        <w:rPr>
          <w:rFonts w:ascii="黑体" w:hAnsi="黑体" w:eastAsia="黑体" w:cs="黑体"/>
          <w:color w:val="0D0D0D"/>
          <w:sz w:val="28"/>
          <w:szCs w:val="28"/>
        </w:rPr>
      </w:pPr>
      <w:r>
        <w:rPr>
          <w:rFonts w:hint="eastAsia" w:ascii="黑体" w:hAnsi="黑体" w:eastAsia="黑体" w:cs="黑体"/>
          <w:color w:val="0D0D0D"/>
          <w:sz w:val="28"/>
          <w:szCs w:val="28"/>
        </w:rPr>
        <w:t>供应商须知前附表</w:t>
      </w:r>
      <w:bookmarkEnd w:id="18"/>
    </w:p>
    <w:tbl>
      <w:tblPr>
        <w:tblStyle w:val="37"/>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5"/>
        <w:gridCol w:w="2431"/>
        <w:gridCol w:w="6"/>
        <w:gridCol w:w="6144"/>
      </w:tblGrid>
      <w:tr w14:paraId="6787C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1135" w:type="dxa"/>
            <w:vAlign w:val="center"/>
          </w:tcPr>
          <w:p w14:paraId="7CFF189E">
            <w:pPr>
              <w:spacing w:line="360" w:lineRule="exact"/>
              <w:jc w:val="center"/>
              <w:rPr>
                <w:b/>
                <w:color w:val="0D0D0D"/>
              </w:rPr>
            </w:pPr>
            <w:r>
              <w:rPr>
                <w:rFonts w:hint="eastAsia" w:hAnsi="宋体"/>
                <w:b/>
                <w:color w:val="0D0D0D"/>
              </w:rPr>
              <w:t>条款号</w:t>
            </w:r>
          </w:p>
        </w:tc>
        <w:tc>
          <w:tcPr>
            <w:tcW w:w="2431" w:type="dxa"/>
            <w:vAlign w:val="center"/>
          </w:tcPr>
          <w:p w14:paraId="2084414F">
            <w:pPr>
              <w:spacing w:line="360" w:lineRule="exact"/>
              <w:jc w:val="center"/>
              <w:rPr>
                <w:b/>
                <w:color w:val="0D0D0D"/>
              </w:rPr>
            </w:pPr>
            <w:r>
              <w:rPr>
                <w:rFonts w:hint="eastAsia" w:hAnsi="宋体"/>
                <w:b/>
                <w:color w:val="0D0D0D"/>
              </w:rPr>
              <w:t>条款名称</w:t>
            </w:r>
          </w:p>
        </w:tc>
        <w:tc>
          <w:tcPr>
            <w:tcW w:w="6150" w:type="dxa"/>
            <w:gridSpan w:val="2"/>
            <w:vAlign w:val="center"/>
          </w:tcPr>
          <w:p w14:paraId="7340DA46">
            <w:pPr>
              <w:spacing w:line="360" w:lineRule="exact"/>
              <w:jc w:val="center"/>
              <w:rPr>
                <w:b/>
                <w:color w:val="0D0D0D"/>
              </w:rPr>
            </w:pPr>
            <w:r>
              <w:rPr>
                <w:rFonts w:hint="eastAsia" w:hAnsi="宋体"/>
                <w:b/>
                <w:color w:val="0D0D0D"/>
              </w:rPr>
              <w:t>编列内容</w:t>
            </w:r>
          </w:p>
        </w:tc>
      </w:tr>
      <w:tr w14:paraId="45B5A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3" w:hRule="atLeast"/>
        </w:trPr>
        <w:tc>
          <w:tcPr>
            <w:tcW w:w="1135" w:type="dxa"/>
            <w:vAlign w:val="center"/>
          </w:tcPr>
          <w:p w14:paraId="6F26A5B0">
            <w:pPr>
              <w:spacing w:line="360" w:lineRule="exact"/>
              <w:jc w:val="center"/>
              <w:rPr>
                <w:b/>
                <w:bCs/>
                <w:color w:val="0D0D0D"/>
              </w:rPr>
            </w:pPr>
            <w:r>
              <w:rPr>
                <w:b/>
                <w:bCs/>
                <w:color w:val="0D0D0D"/>
              </w:rPr>
              <w:t>1.1.2</w:t>
            </w:r>
          </w:p>
        </w:tc>
        <w:tc>
          <w:tcPr>
            <w:tcW w:w="2431" w:type="dxa"/>
            <w:vAlign w:val="center"/>
          </w:tcPr>
          <w:p w14:paraId="7CB60F89">
            <w:pPr>
              <w:spacing w:line="360" w:lineRule="exact"/>
              <w:jc w:val="center"/>
              <w:rPr>
                <w:rFonts w:eastAsia="仿宋_GB2312"/>
                <w:color w:val="0D0D0D"/>
              </w:rPr>
            </w:pPr>
            <w:r>
              <w:rPr>
                <w:rFonts w:hint="eastAsia" w:eastAsia="仿宋_GB2312"/>
                <w:color w:val="0D0D0D"/>
              </w:rPr>
              <w:t>采购人</w:t>
            </w:r>
          </w:p>
        </w:tc>
        <w:tc>
          <w:tcPr>
            <w:tcW w:w="6150" w:type="dxa"/>
            <w:gridSpan w:val="2"/>
            <w:vAlign w:val="center"/>
          </w:tcPr>
          <w:p w14:paraId="378E0457">
            <w:pPr>
              <w:spacing w:line="360" w:lineRule="exact"/>
              <w:jc w:val="left"/>
              <w:rPr>
                <w:rFonts w:hint="default" w:eastAsia="仿宋_GB2312"/>
                <w:color w:val="0D0D0D"/>
                <w:lang w:val="en-US" w:eastAsia="zh-CN"/>
              </w:rPr>
            </w:pPr>
            <w:r>
              <w:rPr>
                <w:rFonts w:hint="eastAsia" w:eastAsia="仿宋_GB2312"/>
                <w:color w:val="0D0D0D"/>
              </w:rPr>
              <w:t>名称：</w:t>
            </w:r>
            <w:r>
              <w:rPr>
                <w:rFonts w:hint="eastAsia" w:eastAsia="仿宋_GB2312"/>
                <w:color w:val="0D0D0D"/>
                <w:lang w:val="en-US" w:eastAsia="zh-CN"/>
              </w:rPr>
              <w:t>泰兴市文化博览中心</w:t>
            </w:r>
          </w:p>
          <w:p w14:paraId="5E49411D">
            <w:pPr>
              <w:spacing w:line="360" w:lineRule="exact"/>
              <w:jc w:val="left"/>
              <w:rPr>
                <w:rFonts w:hint="eastAsia" w:eastAsia="仿宋_GB2312"/>
                <w:color w:val="0D0D0D"/>
              </w:rPr>
            </w:pPr>
            <w:r>
              <w:rPr>
                <w:rFonts w:hint="eastAsia" w:eastAsia="仿宋_GB2312"/>
                <w:color w:val="0D0D0D"/>
              </w:rPr>
              <w:t>地址：泰兴市</w:t>
            </w:r>
            <w:r>
              <w:rPr>
                <w:rFonts w:hint="eastAsia" w:eastAsia="仿宋_GB2312"/>
                <w:color w:val="0D0D0D"/>
                <w:lang w:val="en-US" w:eastAsia="zh-CN"/>
              </w:rPr>
              <w:t>府前街大会堂路26号</w:t>
            </w:r>
          </w:p>
          <w:p w14:paraId="3B53E8A0">
            <w:pPr>
              <w:spacing w:line="360" w:lineRule="exact"/>
              <w:jc w:val="left"/>
              <w:rPr>
                <w:rFonts w:hint="eastAsia" w:eastAsia="仿宋_GB2312"/>
                <w:color w:val="0D0D0D"/>
                <w:lang w:eastAsia="zh-CN"/>
              </w:rPr>
            </w:pPr>
            <w:r>
              <w:rPr>
                <w:rFonts w:hint="eastAsia" w:eastAsia="仿宋_GB2312"/>
                <w:color w:val="0D0D0D"/>
              </w:rPr>
              <w:t>联系人：</w:t>
            </w:r>
            <w:r>
              <w:rPr>
                <w:rFonts w:hint="eastAsia" w:eastAsia="仿宋_GB2312"/>
                <w:color w:val="0D0D0D"/>
                <w:lang w:val="en-US" w:eastAsia="zh-CN"/>
              </w:rPr>
              <w:t>陈先生</w:t>
            </w:r>
          </w:p>
          <w:p w14:paraId="68D23F25">
            <w:pPr>
              <w:spacing w:line="360" w:lineRule="exact"/>
              <w:jc w:val="left"/>
              <w:rPr>
                <w:rFonts w:asciiTheme="minorEastAsia" w:hAnsiTheme="minorEastAsia" w:eastAsiaTheme="minorEastAsia"/>
                <w:highlight w:val="yellow"/>
              </w:rPr>
            </w:pPr>
            <w:r>
              <w:rPr>
                <w:rFonts w:hint="eastAsia" w:eastAsia="仿宋_GB2312"/>
                <w:color w:val="0D0D0D"/>
              </w:rPr>
              <w:t>联系电话：</w:t>
            </w:r>
            <w:r>
              <w:rPr>
                <w:rFonts w:hint="eastAsia" w:eastAsia="仿宋_GB2312"/>
                <w:color w:val="0D0D0D"/>
                <w:lang w:val="en-US" w:eastAsia="zh-CN"/>
              </w:rPr>
              <w:t>0523-87612769</w:t>
            </w:r>
          </w:p>
        </w:tc>
      </w:tr>
      <w:tr w14:paraId="530D7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0" w:hRule="atLeast"/>
        </w:trPr>
        <w:tc>
          <w:tcPr>
            <w:tcW w:w="1135" w:type="dxa"/>
            <w:vAlign w:val="center"/>
          </w:tcPr>
          <w:p w14:paraId="7B251F5C">
            <w:pPr>
              <w:spacing w:line="360" w:lineRule="exact"/>
              <w:jc w:val="center"/>
              <w:rPr>
                <w:b/>
                <w:bCs/>
                <w:color w:val="0D0D0D"/>
              </w:rPr>
            </w:pPr>
            <w:r>
              <w:rPr>
                <w:b/>
                <w:bCs/>
                <w:color w:val="0D0D0D"/>
              </w:rPr>
              <w:t>1.1.3</w:t>
            </w:r>
          </w:p>
        </w:tc>
        <w:tc>
          <w:tcPr>
            <w:tcW w:w="2431" w:type="dxa"/>
            <w:vAlign w:val="center"/>
          </w:tcPr>
          <w:p w14:paraId="7F8281D7">
            <w:pPr>
              <w:spacing w:line="360" w:lineRule="exact"/>
              <w:jc w:val="center"/>
              <w:rPr>
                <w:rFonts w:eastAsia="仿宋_GB2312"/>
                <w:color w:val="0D0D0D"/>
              </w:rPr>
            </w:pPr>
            <w:r>
              <w:rPr>
                <w:rFonts w:hint="eastAsia" w:eastAsia="仿宋_GB2312"/>
                <w:color w:val="0D0D0D"/>
              </w:rPr>
              <w:t>采购代理机构</w:t>
            </w:r>
          </w:p>
        </w:tc>
        <w:tc>
          <w:tcPr>
            <w:tcW w:w="6150" w:type="dxa"/>
            <w:gridSpan w:val="2"/>
            <w:vAlign w:val="center"/>
          </w:tcPr>
          <w:p w14:paraId="1E077AA4">
            <w:pPr>
              <w:spacing w:line="360" w:lineRule="exact"/>
              <w:jc w:val="left"/>
              <w:rPr>
                <w:rFonts w:hint="eastAsia" w:eastAsia="仿宋_GB2312"/>
                <w:color w:val="0D0D0D"/>
              </w:rPr>
            </w:pPr>
            <w:r>
              <w:rPr>
                <w:rFonts w:hint="eastAsia" w:eastAsia="仿宋_GB2312"/>
                <w:color w:val="0D0D0D"/>
              </w:rPr>
              <w:t>名称：泰兴市公共资源交易中心</w:t>
            </w:r>
          </w:p>
          <w:p w14:paraId="1FF8AA5D">
            <w:pPr>
              <w:spacing w:line="360" w:lineRule="exact"/>
              <w:jc w:val="left"/>
              <w:rPr>
                <w:rFonts w:hint="eastAsia" w:eastAsia="仿宋_GB2312"/>
                <w:color w:val="0D0D0D"/>
              </w:rPr>
            </w:pPr>
            <w:r>
              <w:rPr>
                <w:rFonts w:hint="eastAsia" w:eastAsia="仿宋_GB2312"/>
                <w:color w:val="0D0D0D"/>
              </w:rPr>
              <w:t>地址：泰兴市文昌东路62号四楼406室</w:t>
            </w:r>
          </w:p>
          <w:p w14:paraId="21AC81E3">
            <w:pPr>
              <w:spacing w:line="360" w:lineRule="exact"/>
              <w:jc w:val="left"/>
              <w:rPr>
                <w:rFonts w:hint="eastAsia" w:eastAsia="仿宋_GB2312"/>
                <w:color w:val="0D0D0D"/>
              </w:rPr>
            </w:pPr>
            <w:r>
              <w:rPr>
                <w:rFonts w:hint="eastAsia" w:eastAsia="仿宋_GB2312"/>
                <w:color w:val="0D0D0D"/>
              </w:rPr>
              <w:t>联系人：黄女士</w:t>
            </w:r>
          </w:p>
          <w:p w14:paraId="72B26DB2">
            <w:pPr>
              <w:spacing w:line="360" w:lineRule="exact"/>
              <w:jc w:val="left"/>
              <w:rPr>
                <w:rFonts w:eastAsia="仿宋_GB2312"/>
                <w:color w:val="0D0D0D"/>
              </w:rPr>
            </w:pPr>
            <w:r>
              <w:rPr>
                <w:rFonts w:hint="eastAsia" w:eastAsia="仿宋_GB2312"/>
                <w:color w:val="0D0D0D"/>
              </w:rPr>
              <w:t>联系电话：0523-87654122</w:t>
            </w:r>
          </w:p>
        </w:tc>
      </w:tr>
      <w:tr w14:paraId="531E4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6" w:hRule="atLeast"/>
        </w:trPr>
        <w:tc>
          <w:tcPr>
            <w:tcW w:w="1135" w:type="dxa"/>
            <w:vAlign w:val="center"/>
          </w:tcPr>
          <w:p w14:paraId="51449CC8">
            <w:pPr>
              <w:spacing w:line="360" w:lineRule="exact"/>
              <w:jc w:val="center"/>
              <w:rPr>
                <w:b/>
                <w:bCs/>
                <w:color w:val="0D0D0D"/>
              </w:rPr>
            </w:pPr>
            <w:r>
              <w:rPr>
                <w:b/>
                <w:bCs/>
                <w:color w:val="0D0D0D"/>
              </w:rPr>
              <w:t>1.1.4</w:t>
            </w:r>
          </w:p>
        </w:tc>
        <w:tc>
          <w:tcPr>
            <w:tcW w:w="2431" w:type="dxa"/>
            <w:vAlign w:val="center"/>
          </w:tcPr>
          <w:p w14:paraId="54635EFF">
            <w:pPr>
              <w:spacing w:line="360" w:lineRule="exact"/>
              <w:jc w:val="center"/>
              <w:rPr>
                <w:rFonts w:eastAsia="仿宋_GB2312"/>
                <w:color w:val="0D0D0D"/>
              </w:rPr>
            </w:pPr>
            <w:r>
              <w:rPr>
                <w:rFonts w:hint="eastAsia" w:eastAsia="仿宋_GB2312"/>
                <w:color w:val="0D0D0D"/>
              </w:rPr>
              <w:t>项目名称及项目编号</w:t>
            </w:r>
          </w:p>
        </w:tc>
        <w:tc>
          <w:tcPr>
            <w:tcW w:w="6150" w:type="dxa"/>
            <w:gridSpan w:val="2"/>
            <w:vAlign w:val="center"/>
          </w:tcPr>
          <w:p w14:paraId="537EA8AE">
            <w:pPr>
              <w:keepNext w:val="0"/>
              <w:keepLines w:val="0"/>
              <w:pageBreakBefore w:val="0"/>
              <w:widowControl w:val="0"/>
              <w:kinsoku/>
              <w:wordWrap/>
              <w:overflowPunct/>
              <w:topLinePunct w:val="0"/>
              <w:autoSpaceDE/>
              <w:autoSpaceDN/>
              <w:bidi w:val="0"/>
              <w:adjustRightInd/>
              <w:snapToGrid/>
              <w:spacing w:line="360" w:lineRule="exact"/>
              <w:ind w:left="1242" w:right="-132" w:rightChars="-55" w:hanging="1242"/>
              <w:textAlignment w:val="auto"/>
              <w:rPr>
                <w:rFonts w:ascii="仿宋_GB2312" w:hAnsi="仿宋_GB2312" w:eastAsia="仿宋_GB2312" w:cs="仿宋_GB2312"/>
                <w:color w:val="0D0D0D"/>
              </w:rPr>
            </w:pPr>
            <w:r>
              <w:rPr>
                <w:rFonts w:hint="eastAsia" w:eastAsia="仿宋_GB2312"/>
                <w:color w:val="0D0D0D"/>
              </w:rPr>
              <w:t>项目名称：泰兴市文化博览中心物业管理服务项目</w:t>
            </w:r>
          </w:p>
          <w:p w14:paraId="21CA271E">
            <w:pPr>
              <w:keepNext w:val="0"/>
              <w:keepLines w:val="0"/>
              <w:pageBreakBefore w:val="0"/>
              <w:widowControl w:val="0"/>
              <w:kinsoku/>
              <w:wordWrap/>
              <w:overflowPunct/>
              <w:topLinePunct w:val="0"/>
              <w:autoSpaceDE/>
              <w:autoSpaceDN/>
              <w:bidi w:val="0"/>
              <w:adjustRightInd/>
              <w:snapToGrid/>
              <w:spacing w:line="360" w:lineRule="exact"/>
              <w:ind w:left="1242" w:hanging="1242"/>
              <w:textAlignment w:val="auto"/>
              <w:rPr>
                <w:rFonts w:eastAsia="仿宋_GB2312"/>
                <w:color w:val="0D0D0D"/>
              </w:rPr>
            </w:pPr>
            <w:r>
              <w:rPr>
                <w:rFonts w:hint="eastAsia" w:ascii="仿宋_GB2312" w:hAnsi="仿宋_GB2312" w:eastAsia="仿宋_GB2312" w:cs="仿宋_GB2312"/>
                <w:color w:val="auto"/>
              </w:rPr>
              <w:t>项目编号：</w:t>
            </w:r>
            <w:r>
              <w:rPr>
                <w:rFonts w:hint="eastAsia" w:ascii="仿宋_GB2312" w:hAnsi="仿宋_GB2312" w:eastAsia="仿宋_GB2312" w:cs="仿宋_GB2312"/>
                <w:color w:val="auto"/>
                <w:lang w:val="en-US" w:eastAsia="zh-CN"/>
              </w:rPr>
              <w:t>JSZC-321283-JZCG-C2026-0004</w:t>
            </w:r>
          </w:p>
        </w:tc>
      </w:tr>
      <w:tr w14:paraId="654A5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5" w:hRule="atLeast"/>
        </w:trPr>
        <w:tc>
          <w:tcPr>
            <w:tcW w:w="1135" w:type="dxa"/>
            <w:vAlign w:val="center"/>
          </w:tcPr>
          <w:p w14:paraId="7F59C842">
            <w:pPr>
              <w:spacing w:line="380" w:lineRule="exact"/>
              <w:jc w:val="center"/>
              <w:rPr>
                <w:b/>
                <w:bCs/>
                <w:color w:val="0D0D0D"/>
              </w:rPr>
            </w:pPr>
            <w:r>
              <w:rPr>
                <w:rFonts w:eastAsia="仿宋_GB2312"/>
                <w:b/>
                <w:bCs/>
              </w:rPr>
              <w:t>1.2.1</w:t>
            </w:r>
          </w:p>
        </w:tc>
        <w:tc>
          <w:tcPr>
            <w:tcW w:w="2431" w:type="dxa"/>
            <w:vAlign w:val="center"/>
          </w:tcPr>
          <w:p w14:paraId="025B5ED3">
            <w:pPr>
              <w:spacing w:line="380" w:lineRule="exact"/>
              <w:jc w:val="center"/>
              <w:rPr>
                <w:rFonts w:eastAsia="仿宋_GB2312"/>
                <w:color w:val="0D0D0D"/>
              </w:rPr>
            </w:pPr>
            <w:r>
              <w:rPr>
                <w:rFonts w:hint="eastAsia" w:ascii="仿宋_GB2312" w:hAnsi="宋体" w:eastAsia="仿宋_GB2312" w:cs="宋体"/>
              </w:rPr>
              <w:t>付款方式</w:t>
            </w:r>
          </w:p>
        </w:tc>
        <w:tc>
          <w:tcPr>
            <w:tcW w:w="6150" w:type="dxa"/>
            <w:gridSpan w:val="2"/>
            <w:vAlign w:val="center"/>
          </w:tcPr>
          <w:p w14:paraId="68522B31">
            <w:pPr>
              <w:pStyle w:val="17"/>
              <w:ind w:left="0"/>
              <w:rPr>
                <w:rFonts w:eastAsia="仿宋_GB2312"/>
              </w:rPr>
            </w:pPr>
            <w:r>
              <w:rPr>
                <w:rFonts w:hint="eastAsia" w:ascii="仿宋_GB2312" w:hAnsi="宋体" w:eastAsia="仿宋_GB2312" w:cs="宋体"/>
              </w:rPr>
              <w:t>服务合同每年签订一次，合同签定后，每一季度后的一个月根据服务合同</w:t>
            </w:r>
            <w:r>
              <w:rPr>
                <w:rFonts w:hint="eastAsia" w:ascii="仿宋_GB2312" w:hAnsi="宋体" w:eastAsia="仿宋_GB2312" w:cs="宋体"/>
                <w:lang w:eastAsia="zh-CN"/>
              </w:rPr>
              <w:t>、</w:t>
            </w:r>
            <w:r>
              <w:rPr>
                <w:rFonts w:hint="eastAsia" w:ascii="仿宋_GB2312" w:hAnsi="宋体" w:eastAsia="仿宋_GB2312" w:cs="宋体"/>
              </w:rPr>
              <w:t>考核办法及考核结果</w:t>
            </w:r>
            <w:r>
              <w:rPr>
                <w:rFonts w:hint="eastAsia" w:ascii="仿宋_GB2312" w:hAnsi="宋体" w:eastAsia="仿宋_GB2312" w:cs="宋体"/>
                <w:lang w:val="en-US" w:eastAsia="zh-CN"/>
              </w:rPr>
              <w:t>拨</w:t>
            </w:r>
            <w:r>
              <w:rPr>
                <w:rFonts w:hint="eastAsia" w:ascii="仿宋_GB2312" w:hAnsi="宋体" w:eastAsia="仿宋_GB2312" w:cs="宋体"/>
              </w:rPr>
              <w:t>付上个季度的费用。</w:t>
            </w:r>
          </w:p>
        </w:tc>
      </w:tr>
      <w:tr w14:paraId="31EAC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7" w:hRule="atLeast"/>
        </w:trPr>
        <w:tc>
          <w:tcPr>
            <w:tcW w:w="1135" w:type="dxa"/>
            <w:vAlign w:val="center"/>
          </w:tcPr>
          <w:p w14:paraId="1714B896">
            <w:pPr>
              <w:spacing w:line="360" w:lineRule="exact"/>
              <w:jc w:val="center"/>
              <w:rPr>
                <w:b/>
                <w:bCs/>
                <w:color w:val="0D0D0D"/>
              </w:rPr>
            </w:pPr>
            <w:r>
              <w:rPr>
                <w:rFonts w:eastAsia="仿宋_GB2312"/>
                <w:b/>
                <w:bCs/>
              </w:rPr>
              <w:t>1.3.1</w:t>
            </w:r>
          </w:p>
        </w:tc>
        <w:tc>
          <w:tcPr>
            <w:tcW w:w="2431" w:type="dxa"/>
            <w:vAlign w:val="center"/>
          </w:tcPr>
          <w:p w14:paraId="17F27D9A">
            <w:pPr>
              <w:spacing w:line="360" w:lineRule="exact"/>
              <w:jc w:val="center"/>
              <w:rPr>
                <w:rFonts w:eastAsia="仿宋_GB2312"/>
                <w:color w:val="0D0D0D"/>
              </w:rPr>
            </w:pPr>
            <w:r>
              <w:rPr>
                <w:rFonts w:hint="eastAsia" w:ascii="仿宋_GB2312" w:hAnsi="宋体" w:eastAsia="仿宋_GB2312" w:cs="宋体"/>
              </w:rPr>
              <w:t>采购范围</w:t>
            </w:r>
          </w:p>
        </w:tc>
        <w:tc>
          <w:tcPr>
            <w:tcW w:w="6150" w:type="dxa"/>
            <w:gridSpan w:val="2"/>
            <w:vAlign w:val="center"/>
          </w:tcPr>
          <w:p w14:paraId="3B0F76D3">
            <w:pPr>
              <w:adjustRightInd w:val="0"/>
              <w:snapToGrid w:val="0"/>
              <w:jc w:val="left"/>
              <w:rPr>
                <w:rFonts w:eastAsia="仿宋_GB2312"/>
                <w:color w:val="0D0D0D"/>
              </w:rPr>
            </w:pPr>
            <w:r>
              <w:rPr>
                <w:rFonts w:hint="eastAsia" w:ascii="仿宋_GB2312" w:hAnsi="宋体" w:eastAsia="仿宋_GB2312" w:cs="宋体"/>
              </w:rPr>
              <w:t>具体详见竞争性磋商文件第五章。</w:t>
            </w:r>
          </w:p>
        </w:tc>
      </w:tr>
      <w:tr w14:paraId="0CAF6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1135" w:type="dxa"/>
            <w:vAlign w:val="center"/>
          </w:tcPr>
          <w:p w14:paraId="7CF3673F">
            <w:pPr>
              <w:spacing w:line="360" w:lineRule="exact"/>
              <w:jc w:val="center"/>
              <w:rPr>
                <w:b/>
                <w:bCs/>
                <w:color w:val="0D0D0D"/>
              </w:rPr>
            </w:pPr>
            <w:r>
              <w:rPr>
                <w:rFonts w:eastAsia="仿宋_GB2312"/>
                <w:b/>
                <w:bCs/>
              </w:rPr>
              <w:t>1.3.2</w:t>
            </w:r>
          </w:p>
        </w:tc>
        <w:tc>
          <w:tcPr>
            <w:tcW w:w="2431" w:type="dxa"/>
            <w:vAlign w:val="center"/>
          </w:tcPr>
          <w:p w14:paraId="64D8F81B">
            <w:pPr>
              <w:spacing w:line="360" w:lineRule="exact"/>
              <w:jc w:val="center"/>
              <w:rPr>
                <w:rFonts w:eastAsia="仿宋_GB2312"/>
                <w:color w:val="0D0D0D"/>
              </w:rPr>
            </w:pPr>
            <w:r>
              <w:rPr>
                <w:rFonts w:hint="eastAsia" w:ascii="仿宋_GB2312" w:hAnsi="宋体" w:eastAsia="仿宋_GB2312" w:cs="宋体"/>
              </w:rPr>
              <w:t>合同履行期限</w:t>
            </w:r>
          </w:p>
        </w:tc>
        <w:tc>
          <w:tcPr>
            <w:tcW w:w="6150" w:type="dxa"/>
            <w:gridSpan w:val="2"/>
            <w:vAlign w:val="center"/>
          </w:tcPr>
          <w:p w14:paraId="14C7210D">
            <w:pPr>
              <w:spacing w:line="360" w:lineRule="exact"/>
              <w:jc w:val="left"/>
              <w:rPr>
                <w:rFonts w:eastAsia="仿宋_GB2312"/>
                <w:color w:val="0D0D0D"/>
              </w:rPr>
            </w:pPr>
            <w:r>
              <w:rPr>
                <w:rFonts w:hint="eastAsia" w:ascii="仿宋_GB2312" w:hAnsi="宋体" w:eastAsia="仿宋_GB2312" w:cs="宋体"/>
                <w:highlight w:val="none"/>
              </w:rPr>
              <w:t>本项目服务期为</w:t>
            </w:r>
            <w:r>
              <w:rPr>
                <w:rFonts w:hint="eastAsia" w:ascii="仿宋_GB2312" w:hAnsi="宋体" w:eastAsia="仿宋_GB2312" w:cs="宋体"/>
                <w:highlight w:val="none"/>
                <w:lang w:val="en-US" w:eastAsia="zh-CN"/>
              </w:rPr>
              <w:t>三</w:t>
            </w:r>
            <w:r>
              <w:rPr>
                <w:rFonts w:hint="eastAsia" w:ascii="仿宋_GB2312" w:hAnsi="宋体" w:eastAsia="仿宋_GB2312" w:cs="宋体"/>
                <w:highlight w:val="none"/>
              </w:rPr>
              <w:t>年，采取一次采购</w:t>
            </w:r>
            <w:r>
              <w:rPr>
                <w:rFonts w:hint="eastAsia" w:ascii="仿宋_GB2312" w:hAnsi="宋体" w:eastAsia="仿宋_GB2312" w:cs="宋体"/>
                <w:highlight w:val="none"/>
                <w:lang w:val="en-US" w:eastAsia="zh-CN"/>
              </w:rPr>
              <w:t>三</w:t>
            </w:r>
            <w:r>
              <w:rPr>
                <w:rFonts w:hint="eastAsia" w:ascii="仿宋_GB2312" w:hAnsi="宋体" w:eastAsia="仿宋_GB2312" w:cs="宋体"/>
                <w:highlight w:val="none"/>
              </w:rPr>
              <w:t>年沿用，实行一年一考核一签合同的办法。如果成交单位年度考核不合格，采购人有权终止合同，不再续签下一年合同。</w:t>
            </w:r>
          </w:p>
        </w:tc>
      </w:tr>
      <w:tr w14:paraId="38F95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vAlign w:val="center"/>
          </w:tcPr>
          <w:p w14:paraId="6D2CB9B4">
            <w:pPr>
              <w:spacing w:line="360" w:lineRule="exact"/>
              <w:jc w:val="center"/>
              <w:rPr>
                <w:b/>
                <w:bCs/>
                <w:color w:val="0D0D0D"/>
              </w:rPr>
            </w:pPr>
            <w:r>
              <w:rPr>
                <w:rFonts w:eastAsia="仿宋_GB2312"/>
                <w:b/>
                <w:bCs/>
              </w:rPr>
              <w:t>1.4.2</w:t>
            </w:r>
          </w:p>
        </w:tc>
        <w:tc>
          <w:tcPr>
            <w:tcW w:w="2431" w:type="dxa"/>
            <w:vAlign w:val="center"/>
          </w:tcPr>
          <w:p w14:paraId="24D95DD6">
            <w:pPr>
              <w:spacing w:line="360" w:lineRule="exact"/>
              <w:jc w:val="center"/>
              <w:rPr>
                <w:rFonts w:eastAsia="仿宋_GB2312"/>
                <w:color w:val="0D0D0D"/>
              </w:rPr>
            </w:pPr>
            <w:r>
              <w:rPr>
                <w:rFonts w:hint="eastAsia" w:ascii="仿宋_GB2312" w:hAnsi="宋体" w:eastAsia="仿宋_GB2312" w:cs="宋体"/>
              </w:rPr>
              <w:t>要求供应商具备的特定条件</w:t>
            </w:r>
          </w:p>
        </w:tc>
        <w:tc>
          <w:tcPr>
            <w:tcW w:w="6150" w:type="dxa"/>
            <w:gridSpan w:val="2"/>
            <w:vAlign w:val="center"/>
          </w:tcPr>
          <w:p w14:paraId="439F670F">
            <w:pPr>
              <w:spacing w:line="420" w:lineRule="exact"/>
              <w:jc w:val="left"/>
              <w:rPr>
                <w:rFonts w:eastAsia="仿宋_GB2312" w:cs="宋体"/>
                <w:color w:val="0D0D0D"/>
              </w:rPr>
            </w:pPr>
            <w:r>
              <w:rPr>
                <w:rFonts w:hint="eastAsia" w:ascii="仿宋_GB2312" w:hAnsi="宋体" w:eastAsia="仿宋_GB2312" w:cs="宋体"/>
              </w:rPr>
              <w:t>无</w:t>
            </w:r>
          </w:p>
        </w:tc>
      </w:tr>
      <w:tr w14:paraId="7628E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vAlign w:val="center"/>
          </w:tcPr>
          <w:p w14:paraId="6849DEAC">
            <w:pPr>
              <w:spacing w:line="360" w:lineRule="exact"/>
              <w:jc w:val="center"/>
              <w:rPr>
                <w:rFonts w:eastAsia="仿宋_GB2312"/>
                <w:b/>
                <w:bCs/>
              </w:rPr>
            </w:pPr>
            <w:r>
              <w:rPr>
                <w:rFonts w:hint="eastAsia" w:eastAsia="仿宋_GB2312"/>
                <w:b/>
                <w:bCs/>
              </w:rPr>
              <w:t>1.8</w:t>
            </w:r>
          </w:p>
        </w:tc>
        <w:tc>
          <w:tcPr>
            <w:tcW w:w="2431" w:type="dxa"/>
            <w:vAlign w:val="center"/>
          </w:tcPr>
          <w:p w14:paraId="751FD130">
            <w:pPr>
              <w:spacing w:line="360" w:lineRule="exact"/>
              <w:jc w:val="center"/>
              <w:rPr>
                <w:rFonts w:ascii="仿宋_GB2312" w:hAnsi="宋体" w:eastAsia="仿宋_GB2312" w:cs="宋体"/>
              </w:rPr>
            </w:pPr>
            <w:r>
              <w:rPr>
                <w:rFonts w:hint="eastAsia" w:ascii="仿宋_GB2312" w:hAnsi="宋体" w:eastAsia="仿宋_GB2312" w:cs="宋体"/>
              </w:rPr>
              <w:t>分包</w:t>
            </w:r>
          </w:p>
        </w:tc>
        <w:tc>
          <w:tcPr>
            <w:tcW w:w="6150" w:type="dxa"/>
            <w:gridSpan w:val="2"/>
            <w:vAlign w:val="center"/>
          </w:tcPr>
          <w:p w14:paraId="762AC775">
            <w:pPr>
              <w:spacing w:line="360" w:lineRule="exact"/>
              <w:jc w:val="left"/>
              <w:rPr>
                <w:rFonts w:hint="default" w:ascii="仿宋_GB2312" w:hAnsi="宋体" w:eastAsia="仿宋_GB2312" w:cs="宋体"/>
                <w:lang w:val="en-US" w:eastAsia="zh-CN"/>
              </w:rPr>
            </w:pPr>
            <w:r>
              <w:rPr>
                <w:rFonts w:hint="eastAsia" w:ascii="仿宋_GB2312" w:hAnsi="宋体" w:eastAsia="仿宋_GB2312" w:cs="宋体"/>
                <w:b/>
                <w:bCs/>
              </w:rPr>
              <w:t>允许分包。经采购人同意，成交人可以将电梯维保、消防维保分包给具备相应资质的单位，相应费用已经包含在合同价款内，采购人不再另行支付。</w:t>
            </w:r>
          </w:p>
        </w:tc>
      </w:tr>
      <w:tr w14:paraId="47FCF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vAlign w:val="center"/>
          </w:tcPr>
          <w:p w14:paraId="7BB4946C">
            <w:pPr>
              <w:spacing w:line="360" w:lineRule="exact"/>
              <w:jc w:val="center"/>
              <w:rPr>
                <w:b/>
                <w:bCs/>
                <w:color w:val="0D0D0D"/>
              </w:rPr>
            </w:pPr>
            <w:r>
              <w:rPr>
                <w:rFonts w:eastAsia="仿宋_GB2312"/>
                <w:b/>
                <w:bCs/>
              </w:rPr>
              <w:t>2.1</w:t>
            </w:r>
          </w:p>
        </w:tc>
        <w:tc>
          <w:tcPr>
            <w:tcW w:w="2431" w:type="dxa"/>
            <w:vAlign w:val="center"/>
          </w:tcPr>
          <w:p w14:paraId="1292A013">
            <w:pPr>
              <w:spacing w:line="360" w:lineRule="exact"/>
              <w:jc w:val="center"/>
              <w:rPr>
                <w:rFonts w:eastAsia="仿宋_GB2312"/>
                <w:color w:val="0D0D0D"/>
              </w:rPr>
            </w:pPr>
            <w:r>
              <w:rPr>
                <w:rFonts w:hint="eastAsia" w:ascii="仿宋_GB2312" w:hAnsi="宋体" w:eastAsia="仿宋_GB2312" w:cs="宋体"/>
              </w:rPr>
              <w:t>构成竞争性磋商文件的其他材料</w:t>
            </w:r>
          </w:p>
        </w:tc>
        <w:tc>
          <w:tcPr>
            <w:tcW w:w="6150" w:type="dxa"/>
            <w:gridSpan w:val="2"/>
            <w:vAlign w:val="center"/>
          </w:tcPr>
          <w:p w14:paraId="7F9D5DB7">
            <w:pPr>
              <w:spacing w:line="360" w:lineRule="exact"/>
              <w:jc w:val="left"/>
              <w:rPr>
                <w:rFonts w:eastAsia="仿宋_GB2312"/>
                <w:color w:val="0D0D0D"/>
              </w:rPr>
            </w:pPr>
            <w:bookmarkStart w:id="19" w:name="EB35ced2e8f8364f63a510bf246ff979f0"/>
            <w:bookmarkEnd w:id="19"/>
            <w:r>
              <w:rPr>
                <w:rFonts w:hint="eastAsia" w:ascii="仿宋_GB2312" w:hAnsi="宋体" w:eastAsia="仿宋_GB2312" w:cs="宋体"/>
              </w:rPr>
              <w:t>无</w:t>
            </w:r>
          </w:p>
        </w:tc>
      </w:tr>
      <w:tr w14:paraId="41E64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135" w:type="dxa"/>
            <w:vAlign w:val="center"/>
          </w:tcPr>
          <w:p w14:paraId="5CC02C7B">
            <w:pPr>
              <w:spacing w:line="360" w:lineRule="exact"/>
              <w:jc w:val="center"/>
              <w:rPr>
                <w:b/>
                <w:bCs/>
                <w:color w:val="0D0D0D"/>
              </w:rPr>
            </w:pPr>
            <w:r>
              <w:rPr>
                <w:rFonts w:eastAsia="仿宋_GB2312"/>
                <w:b/>
                <w:bCs/>
              </w:rPr>
              <w:t>2.2</w:t>
            </w:r>
          </w:p>
        </w:tc>
        <w:tc>
          <w:tcPr>
            <w:tcW w:w="2431" w:type="dxa"/>
            <w:vAlign w:val="center"/>
          </w:tcPr>
          <w:p w14:paraId="6B5BC0AC">
            <w:pPr>
              <w:spacing w:line="360" w:lineRule="exact"/>
              <w:jc w:val="center"/>
              <w:rPr>
                <w:rFonts w:eastAsia="仿宋_GB2312"/>
                <w:color w:val="0D0D0D"/>
                <w:spacing w:val="-10"/>
              </w:rPr>
            </w:pPr>
            <w:r>
              <w:rPr>
                <w:rFonts w:hint="eastAsia" w:ascii="仿宋_GB2312" w:hAnsi="宋体" w:eastAsia="仿宋_GB2312" w:cs="宋体"/>
                <w:spacing w:val="-10"/>
              </w:rPr>
              <w:t>供应商要求澄清竞争性磋商文件的截止时间</w:t>
            </w:r>
          </w:p>
        </w:tc>
        <w:tc>
          <w:tcPr>
            <w:tcW w:w="6150" w:type="dxa"/>
            <w:gridSpan w:val="2"/>
            <w:vAlign w:val="center"/>
          </w:tcPr>
          <w:p w14:paraId="71BA85F6">
            <w:pPr>
              <w:spacing w:line="360" w:lineRule="exact"/>
              <w:rPr>
                <w:rFonts w:eastAsia="仿宋_GB2312"/>
                <w:color w:val="0D0D0D"/>
              </w:rPr>
            </w:pPr>
            <w:r>
              <w:rPr>
                <w:rFonts w:hint="eastAsia" w:eastAsia="仿宋_GB2312"/>
              </w:rPr>
              <w:t>202</w:t>
            </w:r>
            <w:r>
              <w:rPr>
                <w:rFonts w:hint="eastAsia" w:eastAsia="仿宋_GB2312"/>
                <w:lang w:val="en-US" w:eastAsia="zh-CN"/>
              </w:rPr>
              <w:t>6</w:t>
            </w:r>
            <w:r>
              <w:rPr>
                <w:rFonts w:hint="eastAsia" w:eastAsia="仿宋_GB2312"/>
              </w:rPr>
              <w:t>年</w:t>
            </w:r>
            <w:r>
              <w:rPr>
                <w:rFonts w:hint="eastAsia" w:eastAsia="仿宋_GB2312"/>
                <w:lang w:val="en-US" w:eastAsia="zh-CN"/>
              </w:rPr>
              <w:t>06</w:t>
            </w:r>
            <w:r>
              <w:rPr>
                <w:rFonts w:hint="eastAsia" w:eastAsia="仿宋_GB2312"/>
              </w:rPr>
              <w:t>月</w:t>
            </w:r>
            <w:r>
              <w:rPr>
                <w:rFonts w:hint="eastAsia" w:eastAsia="仿宋_GB2312"/>
                <w:color w:val="auto"/>
                <w:lang w:val="en-US" w:eastAsia="zh-CN"/>
              </w:rPr>
              <w:t>09</w:t>
            </w:r>
            <w:r>
              <w:rPr>
                <w:rFonts w:hint="eastAsia" w:eastAsia="仿宋_GB2312"/>
              </w:rPr>
              <w:t>日 17时30分</w:t>
            </w:r>
          </w:p>
        </w:tc>
      </w:tr>
      <w:tr w14:paraId="79C39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1135" w:type="dxa"/>
            <w:vAlign w:val="center"/>
          </w:tcPr>
          <w:p w14:paraId="47C4115B">
            <w:pPr>
              <w:spacing w:line="380" w:lineRule="exact"/>
              <w:jc w:val="center"/>
              <w:rPr>
                <w:b/>
                <w:bCs/>
                <w:color w:val="0D0D0D"/>
              </w:rPr>
            </w:pPr>
            <w:r>
              <w:rPr>
                <w:rFonts w:eastAsia="仿宋_GB2312"/>
                <w:b/>
                <w:bCs/>
              </w:rPr>
              <w:t>3.1</w:t>
            </w:r>
          </w:p>
        </w:tc>
        <w:tc>
          <w:tcPr>
            <w:tcW w:w="2431" w:type="dxa"/>
            <w:vAlign w:val="center"/>
          </w:tcPr>
          <w:p w14:paraId="63E8B008">
            <w:pPr>
              <w:spacing w:line="380" w:lineRule="exact"/>
              <w:jc w:val="center"/>
              <w:rPr>
                <w:rFonts w:eastAsia="仿宋_GB2312"/>
                <w:color w:val="0D0D0D"/>
              </w:rPr>
            </w:pPr>
            <w:r>
              <w:rPr>
                <w:rFonts w:hint="eastAsia" w:ascii="仿宋_GB2312" w:hAnsi="宋体" w:eastAsia="仿宋_GB2312" w:cs="宋体"/>
              </w:rPr>
              <w:t>响应文件的组成</w:t>
            </w:r>
          </w:p>
        </w:tc>
        <w:tc>
          <w:tcPr>
            <w:tcW w:w="6150" w:type="dxa"/>
            <w:gridSpan w:val="2"/>
            <w:vAlign w:val="center"/>
          </w:tcPr>
          <w:p w14:paraId="53035623">
            <w:pPr>
              <w:spacing w:line="360" w:lineRule="exact"/>
              <w:rPr>
                <w:rFonts w:ascii="仿宋_GB2312" w:hAnsi="宋体" w:eastAsia="仿宋_GB2312" w:cs="宋体"/>
              </w:rPr>
            </w:pPr>
            <w:r>
              <w:rPr>
                <w:rFonts w:hint="eastAsia" w:eastAsia="仿宋_GB2312"/>
              </w:rPr>
              <w:t>1.</w:t>
            </w:r>
            <w:r>
              <w:rPr>
                <w:rFonts w:hint="eastAsia" w:ascii="仿宋_GB2312" w:hAnsi="宋体" w:eastAsia="仿宋_GB2312" w:cs="宋体"/>
              </w:rPr>
              <w:t>响应函</w:t>
            </w:r>
          </w:p>
          <w:p w14:paraId="346DB156">
            <w:pPr>
              <w:spacing w:line="360" w:lineRule="exact"/>
              <w:rPr>
                <w:rFonts w:ascii="仿宋_GB2312" w:hAnsi="宋体" w:eastAsia="仿宋_GB2312" w:cs="宋体"/>
              </w:rPr>
            </w:pPr>
            <w:r>
              <w:rPr>
                <w:rFonts w:hint="eastAsia" w:eastAsia="仿宋_GB2312"/>
              </w:rPr>
              <w:t>2.</w:t>
            </w:r>
            <w:r>
              <w:rPr>
                <w:rFonts w:hint="eastAsia" w:ascii="仿宋_GB2312" w:hAnsi="宋体" w:eastAsia="仿宋_GB2312" w:cs="宋体"/>
              </w:rPr>
              <w:t>供应商基本资格条件承诺书</w:t>
            </w:r>
          </w:p>
          <w:p w14:paraId="16B6AE1C">
            <w:pPr>
              <w:spacing w:line="360" w:lineRule="exact"/>
              <w:rPr>
                <w:rFonts w:ascii="仿宋_GB2312" w:hAnsi="宋体" w:eastAsia="仿宋_GB2312" w:cs="宋体"/>
              </w:rPr>
            </w:pPr>
            <w:r>
              <w:rPr>
                <w:rFonts w:hint="eastAsia" w:eastAsia="仿宋_GB2312"/>
              </w:rPr>
              <w:t>3.</w:t>
            </w:r>
            <w:r>
              <w:rPr>
                <w:rFonts w:hint="eastAsia" w:ascii="仿宋_GB2312" w:hAnsi="宋体" w:eastAsia="仿宋_GB2312" w:cs="宋体"/>
              </w:rPr>
              <w:t>中小企业声明函（若需）</w:t>
            </w:r>
          </w:p>
          <w:p w14:paraId="3797DA4D">
            <w:pPr>
              <w:spacing w:line="360" w:lineRule="exact"/>
              <w:rPr>
                <w:rFonts w:ascii="仿宋_GB2312" w:hAnsi="宋体" w:eastAsia="仿宋_GB2312" w:cs="宋体"/>
              </w:rPr>
            </w:pPr>
            <w:r>
              <w:rPr>
                <w:rFonts w:hint="eastAsia" w:eastAsia="仿宋_GB2312"/>
              </w:rPr>
              <w:t>4.</w:t>
            </w:r>
            <w:r>
              <w:rPr>
                <w:rFonts w:hint="eastAsia" w:ascii="仿宋_GB2312" w:hAnsi="宋体" w:eastAsia="仿宋_GB2312" w:cs="宋体"/>
              </w:rPr>
              <w:t>采购需求响应表</w:t>
            </w:r>
          </w:p>
          <w:p w14:paraId="201E89FF">
            <w:pPr>
              <w:spacing w:line="360" w:lineRule="exact"/>
              <w:rPr>
                <w:rFonts w:ascii="仿宋_GB2312" w:hAnsi="宋体" w:eastAsia="仿宋_GB2312" w:cs="宋体"/>
              </w:rPr>
            </w:pPr>
            <w:r>
              <w:rPr>
                <w:rFonts w:hint="eastAsia" w:eastAsia="仿宋_GB2312"/>
              </w:rPr>
              <w:t>5.</w:t>
            </w:r>
            <w:r>
              <w:rPr>
                <w:rFonts w:hint="eastAsia" w:ascii="仿宋_GB2312" w:hAnsi="宋体" w:eastAsia="仿宋_GB2312" w:cs="宋体"/>
              </w:rPr>
              <w:t>报价明细</w:t>
            </w:r>
            <w:bookmarkStart w:id="189" w:name="_GoBack"/>
            <w:bookmarkEnd w:id="189"/>
            <w:r>
              <w:rPr>
                <w:rFonts w:hint="eastAsia" w:ascii="仿宋_GB2312" w:hAnsi="宋体" w:eastAsia="仿宋_GB2312" w:cs="宋体"/>
              </w:rPr>
              <w:t>表</w:t>
            </w:r>
          </w:p>
          <w:p w14:paraId="5BD53068">
            <w:pPr>
              <w:spacing w:line="360" w:lineRule="exact"/>
              <w:rPr>
                <w:rFonts w:eastAsia="仿宋_GB2312"/>
                <w:color w:val="0D0D0D"/>
              </w:rPr>
            </w:pPr>
            <w:r>
              <w:rPr>
                <w:rFonts w:hint="eastAsia" w:eastAsia="仿宋_GB2312"/>
              </w:rPr>
              <w:t>6.</w:t>
            </w:r>
            <w:r>
              <w:rPr>
                <w:rFonts w:hint="eastAsia" w:ascii="仿宋_GB2312" w:hAnsi="宋体" w:eastAsia="仿宋_GB2312" w:cs="宋体"/>
              </w:rPr>
              <w:t>供应商认为应列入响应文件的其他材料</w:t>
            </w:r>
          </w:p>
        </w:tc>
      </w:tr>
      <w:tr w14:paraId="2B0CA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6" w:hRule="atLeast"/>
        </w:trPr>
        <w:tc>
          <w:tcPr>
            <w:tcW w:w="1135" w:type="dxa"/>
            <w:vAlign w:val="center"/>
          </w:tcPr>
          <w:p w14:paraId="263FD49E">
            <w:pPr>
              <w:spacing w:line="360" w:lineRule="exact"/>
              <w:jc w:val="center"/>
              <w:rPr>
                <w:b/>
                <w:bCs/>
                <w:color w:val="0D0D0D"/>
              </w:rPr>
            </w:pPr>
            <w:r>
              <w:rPr>
                <w:rFonts w:eastAsia="仿宋_GB2312"/>
                <w:b/>
                <w:bCs/>
              </w:rPr>
              <w:t>3.2.3</w:t>
            </w:r>
          </w:p>
        </w:tc>
        <w:tc>
          <w:tcPr>
            <w:tcW w:w="2431" w:type="dxa"/>
            <w:vAlign w:val="center"/>
          </w:tcPr>
          <w:p w14:paraId="50D0D773">
            <w:pPr>
              <w:jc w:val="center"/>
              <w:rPr>
                <w:rFonts w:eastAsia="仿宋_GB2312" w:cs="宋体"/>
                <w:color w:val="0D0D0D"/>
              </w:rPr>
            </w:pPr>
            <w:r>
              <w:rPr>
                <w:rFonts w:hint="eastAsia" w:ascii="仿宋_GB2312" w:hAnsi="宋体" w:eastAsia="仿宋_GB2312" w:cs="宋体"/>
              </w:rPr>
              <w:t>报价的其他要求</w:t>
            </w:r>
          </w:p>
        </w:tc>
        <w:tc>
          <w:tcPr>
            <w:tcW w:w="6150" w:type="dxa"/>
            <w:gridSpan w:val="2"/>
            <w:vAlign w:val="center"/>
          </w:tcPr>
          <w:p w14:paraId="39649D0F">
            <w:pPr>
              <w:spacing w:line="360" w:lineRule="exact"/>
              <w:rPr>
                <w:rFonts w:ascii="仿宋_GB2312" w:hAnsi="宋体" w:eastAsia="仿宋_GB2312" w:cs="宋体"/>
              </w:rPr>
            </w:pPr>
            <w:r>
              <w:rPr>
                <w:rFonts w:eastAsia="仿宋_GB2312"/>
              </w:rPr>
              <w:t>1.</w:t>
            </w:r>
            <w:r>
              <w:rPr>
                <w:rFonts w:hint="eastAsia" w:ascii="仿宋_GB2312" w:hAnsi="宋体" w:eastAsia="仿宋_GB2312" w:cs="宋体"/>
              </w:rPr>
              <w:t>按照磋商小组的要求，在规定的时间内通过“苏采云”系统提交最后报价。</w:t>
            </w:r>
          </w:p>
          <w:p w14:paraId="7F36EEFB">
            <w:pPr>
              <w:pStyle w:val="14"/>
              <w:rPr>
                <w:rFonts w:ascii="Times New Roman" w:eastAsia="仿宋_GB2312" w:cs="宋体"/>
                <w:b/>
                <w:szCs w:val="24"/>
              </w:rPr>
            </w:pPr>
            <w:r>
              <w:rPr>
                <w:rFonts w:ascii="Times New Roman" w:eastAsia="仿宋_GB2312"/>
                <w:b/>
                <w:bCs w:val="0"/>
                <w:color w:val="FF0000"/>
                <w:sz w:val="24"/>
                <w:szCs w:val="24"/>
              </w:rPr>
              <w:t>2.</w:t>
            </w:r>
            <w:r>
              <w:rPr>
                <w:rFonts w:hint="eastAsia" w:ascii="仿宋_GB2312" w:hAnsi="宋体" w:eastAsia="仿宋_GB2312" w:cs="宋体"/>
                <w:b/>
                <w:bCs w:val="0"/>
                <w:color w:val="FF0000"/>
                <w:sz w:val="24"/>
                <w:szCs w:val="24"/>
              </w:rPr>
              <w:t>预算价</w:t>
            </w:r>
            <w:r>
              <w:rPr>
                <w:rFonts w:hint="eastAsia" w:ascii="仿宋_GB2312" w:hAnsi="宋体" w:eastAsia="仿宋_GB2312" w:cs="宋体"/>
                <w:b/>
                <w:bCs w:val="0"/>
                <w:color w:val="FF0000"/>
                <w:sz w:val="24"/>
                <w:szCs w:val="24"/>
                <w:lang w:val="en-US" w:eastAsia="zh-CN"/>
              </w:rPr>
              <w:t>1</w:t>
            </w:r>
            <w:r>
              <w:rPr>
                <w:rFonts w:hint="eastAsia" w:ascii="仿宋_GB2312" w:hAnsi="宋体" w:eastAsia="仿宋_GB2312" w:cs="宋体"/>
                <w:b/>
                <w:bCs w:val="0"/>
                <w:color w:val="FF0000"/>
                <w:sz w:val="24"/>
                <w:szCs w:val="24"/>
                <w:lang w:val="en-US" w:eastAsia="zh-CN" w:bidi="ar-SA"/>
              </w:rPr>
              <w:t>03.6万</w:t>
            </w:r>
            <w:r>
              <w:rPr>
                <w:rFonts w:hint="eastAsia" w:ascii="仿宋_GB2312" w:hAnsi="宋体" w:eastAsia="仿宋_GB2312" w:cs="宋体"/>
                <w:b/>
                <w:bCs w:val="0"/>
                <w:color w:val="FF0000"/>
                <w:sz w:val="24"/>
                <w:szCs w:val="24"/>
              </w:rPr>
              <w:t>元为一年的价格，报价时按照一年的价格报价，且不得超过最高限价。</w:t>
            </w:r>
          </w:p>
        </w:tc>
      </w:tr>
      <w:tr w14:paraId="45BFC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1135" w:type="dxa"/>
            <w:vAlign w:val="center"/>
          </w:tcPr>
          <w:p w14:paraId="42523D28">
            <w:pPr>
              <w:spacing w:line="360" w:lineRule="exact"/>
              <w:jc w:val="center"/>
              <w:rPr>
                <w:b/>
                <w:bCs/>
                <w:color w:val="0D0D0D"/>
              </w:rPr>
            </w:pPr>
            <w:r>
              <w:rPr>
                <w:rFonts w:eastAsia="仿宋_GB2312"/>
                <w:b/>
                <w:bCs/>
              </w:rPr>
              <w:t>3.3.3</w:t>
            </w:r>
          </w:p>
        </w:tc>
        <w:tc>
          <w:tcPr>
            <w:tcW w:w="2431" w:type="dxa"/>
            <w:vAlign w:val="center"/>
          </w:tcPr>
          <w:p w14:paraId="2C73078B">
            <w:pPr>
              <w:jc w:val="center"/>
              <w:rPr>
                <w:rFonts w:eastAsia="仿宋_GB2312"/>
                <w:color w:val="0D0D0D"/>
              </w:rPr>
            </w:pPr>
            <w:r>
              <w:rPr>
                <w:rFonts w:hint="eastAsia" w:ascii="仿宋_GB2312" w:hAnsi="宋体" w:eastAsia="仿宋_GB2312" w:cs="宋体"/>
              </w:rPr>
              <w:t>响应文件的份数</w:t>
            </w:r>
          </w:p>
        </w:tc>
        <w:tc>
          <w:tcPr>
            <w:tcW w:w="6150" w:type="dxa"/>
            <w:gridSpan w:val="2"/>
            <w:vAlign w:val="center"/>
          </w:tcPr>
          <w:p w14:paraId="640BCE7B">
            <w:pPr>
              <w:spacing w:line="440" w:lineRule="exact"/>
              <w:rPr>
                <w:rFonts w:eastAsia="仿宋_GB2312" w:cs="宋体"/>
                <w:color w:val="0D0D0D"/>
              </w:rPr>
            </w:pPr>
            <w:r>
              <w:rPr>
                <w:rFonts w:hint="eastAsia" w:ascii="仿宋_GB2312" w:hAnsi="宋体" w:eastAsia="仿宋_GB2312" w:cs="宋体"/>
              </w:rPr>
              <w:t>电子响应文件壹份</w:t>
            </w:r>
          </w:p>
        </w:tc>
      </w:tr>
      <w:tr w14:paraId="3094E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35" w:type="dxa"/>
            <w:vAlign w:val="center"/>
          </w:tcPr>
          <w:p w14:paraId="509ABC44">
            <w:pPr>
              <w:spacing w:line="360" w:lineRule="exact"/>
              <w:jc w:val="center"/>
              <w:rPr>
                <w:b/>
                <w:bCs/>
                <w:color w:val="0D0D0D"/>
              </w:rPr>
            </w:pPr>
            <w:r>
              <w:rPr>
                <w:rFonts w:eastAsia="仿宋_GB2312"/>
                <w:b/>
                <w:bCs/>
              </w:rPr>
              <w:t>3.3.4</w:t>
            </w:r>
          </w:p>
        </w:tc>
        <w:tc>
          <w:tcPr>
            <w:tcW w:w="2431" w:type="dxa"/>
            <w:vAlign w:val="center"/>
          </w:tcPr>
          <w:p w14:paraId="1B49AA70">
            <w:pPr>
              <w:jc w:val="center"/>
              <w:rPr>
                <w:rFonts w:eastAsia="仿宋_GB2312" w:cs="宋体"/>
                <w:color w:val="0D0D0D"/>
              </w:rPr>
            </w:pPr>
            <w:r>
              <w:rPr>
                <w:rFonts w:hint="eastAsia" w:ascii="仿宋_GB2312" w:hAnsi="宋体" w:eastAsia="仿宋_GB2312" w:cs="宋体"/>
              </w:rPr>
              <w:t>响应文件的签署</w:t>
            </w:r>
          </w:p>
        </w:tc>
        <w:tc>
          <w:tcPr>
            <w:tcW w:w="6150" w:type="dxa"/>
            <w:gridSpan w:val="2"/>
            <w:vAlign w:val="center"/>
          </w:tcPr>
          <w:p w14:paraId="1134E672">
            <w:pPr>
              <w:spacing w:line="360" w:lineRule="exact"/>
              <w:rPr>
                <w:rFonts w:eastAsia="仿宋_GB2312" w:cs="宋体"/>
                <w:color w:val="0D0D0D"/>
              </w:rPr>
            </w:pPr>
            <w:r>
              <w:rPr>
                <w:rFonts w:hint="eastAsia" w:ascii="仿宋_GB2312" w:hAnsi="宋体" w:eastAsia="仿宋_GB2312" w:cs="宋体"/>
              </w:rPr>
              <w:t>响应函、供应商基本资格条件承诺书、中小企业声明函（若需）须加盖供应商法人章并经法定代表人或经其授权的代表签字或签章。</w:t>
            </w:r>
          </w:p>
        </w:tc>
      </w:tr>
      <w:tr w14:paraId="7964F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1135" w:type="dxa"/>
            <w:vAlign w:val="center"/>
          </w:tcPr>
          <w:p w14:paraId="289D9645">
            <w:pPr>
              <w:spacing w:line="360" w:lineRule="exact"/>
              <w:jc w:val="center"/>
              <w:rPr>
                <w:b/>
                <w:bCs/>
                <w:color w:val="0D0D0D"/>
              </w:rPr>
            </w:pPr>
            <w:r>
              <w:rPr>
                <w:rFonts w:eastAsia="仿宋_GB2312"/>
                <w:b/>
                <w:bCs/>
              </w:rPr>
              <w:t>4.1.1</w:t>
            </w:r>
          </w:p>
        </w:tc>
        <w:tc>
          <w:tcPr>
            <w:tcW w:w="2437" w:type="dxa"/>
            <w:gridSpan w:val="2"/>
            <w:vAlign w:val="center"/>
          </w:tcPr>
          <w:p w14:paraId="322F611A">
            <w:pPr>
              <w:jc w:val="center"/>
              <w:rPr>
                <w:rFonts w:eastAsia="仿宋_GB2312"/>
                <w:color w:val="0D0D0D"/>
              </w:rPr>
            </w:pPr>
            <w:r>
              <w:rPr>
                <w:rFonts w:hint="eastAsia" w:ascii="仿宋_GB2312" w:hAnsi="宋体" w:eastAsia="仿宋_GB2312" w:cs="宋体"/>
              </w:rPr>
              <w:t>响应文件开启时间和地点</w:t>
            </w:r>
          </w:p>
        </w:tc>
        <w:tc>
          <w:tcPr>
            <w:tcW w:w="6144" w:type="dxa"/>
            <w:vAlign w:val="center"/>
          </w:tcPr>
          <w:p w14:paraId="7C028F0F">
            <w:pPr>
              <w:spacing w:line="360" w:lineRule="exact"/>
              <w:jc w:val="left"/>
              <w:rPr>
                <w:rFonts w:ascii="仿宋_GB2312" w:hAnsi="宋体" w:eastAsia="仿宋_GB2312" w:cs="宋体"/>
              </w:rPr>
            </w:pPr>
            <w:r>
              <w:rPr>
                <w:rFonts w:hint="eastAsia" w:ascii="仿宋_GB2312" w:hAnsi="宋体" w:eastAsia="仿宋_GB2312" w:cs="宋体"/>
              </w:rPr>
              <w:t>开启时间：同提交首次响应文件截止时间</w:t>
            </w:r>
          </w:p>
          <w:p w14:paraId="54AAC0DF">
            <w:pPr>
              <w:spacing w:line="360" w:lineRule="exact"/>
              <w:jc w:val="left"/>
              <w:rPr>
                <w:rFonts w:eastAsia="仿宋_GB2312"/>
                <w:color w:val="0D0D0D"/>
              </w:rPr>
            </w:pPr>
            <w:r>
              <w:rPr>
                <w:rFonts w:hint="eastAsia" w:ascii="仿宋_GB2312" w:hAnsi="宋体" w:eastAsia="仿宋_GB2312" w:cs="宋体"/>
              </w:rPr>
              <w:t>地点：“苏采云”政府采购一体化平台</w:t>
            </w:r>
          </w:p>
        </w:tc>
      </w:tr>
      <w:tr w14:paraId="304D6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1135" w:type="dxa"/>
            <w:vAlign w:val="center"/>
          </w:tcPr>
          <w:p w14:paraId="5385D7B6">
            <w:pPr>
              <w:spacing w:line="360" w:lineRule="exact"/>
              <w:jc w:val="center"/>
              <w:rPr>
                <w:b/>
                <w:bCs/>
                <w:color w:val="0D0D0D"/>
              </w:rPr>
            </w:pPr>
            <w:r>
              <w:rPr>
                <w:rFonts w:eastAsia="仿宋_GB2312"/>
                <w:b/>
                <w:bCs/>
              </w:rPr>
              <w:t>5.1.1</w:t>
            </w:r>
          </w:p>
        </w:tc>
        <w:tc>
          <w:tcPr>
            <w:tcW w:w="2431" w:type="dxa"/>
            <w:vAlign w:val="center"/>
          </w:tcPr>
          <w:p w14:paraId="43A2BA63">
            <w:pPr>
              <w:spacing w:line="360" w:lineRule="exact"/>
              <w:jc w:val="center"/>
              <w:rPr>
                <w:rFonts w:eastAsia="仿宋_GB2312"/>
                <w:color w:val="0D0D0D"/>
              </w:rPr>
            </w:pPr>
            <w:r>
              <w:rPr>
                <w:rFonts w:hint="eastAsia" w:ascii="仿宋_GB2312" w:hAnsi="宋体" w:eastAsia="仿宋_GB2312" w:cs="宋体"/>
              </w:rPr>
              <w:t>竞争性磋商小组</w:t>
            </w:r>
          </w:p>
        </w:tc>
        <w:tc>
          <w:tcPr>
            <w:tcW w:w="6150" w:type="dxa"/>
            <w:gridSpan w:val="2"/>
            <w:vAlign w:val="center"/>
          </w:tcPr>
          <w:p w14:paraId="4FA1EA19">
            <w:pPr>
              <w:spacing w:line="360" w:lineRule="exact"/>
              <w:jc w:val="left"/>
              <w:rPr>
                <w:rFonts w:eastAsia="仿宋_GB2312"/>
                <w:color w:val="0D0D0D"/>
              </w:rPr>
            </w:pPr>
            <w:r>
              <w:rPr>
                <w:rFonts w:hint="eastAsia" w:ascii="仿宋_GB2312" w:hAnsi="宋体" w:eastAsia="仿宋_GB2312" w:cs="宋体"/>
              </w:rPr>
              <w:t>小组人数：</w:t>
            </w:r>
            <w:r>
              <w:rPr>
                <w:rFonts w:eastAsia="仿宋_GB2312"/>
              </w:rPr>
              <w:t>3</w:t>
            </w:r>
            <w:r>
              <w:rPr>
                <w:rFonts w:hint="eastAsia" w:ascii="仿宋_GB2312" w:hAnsi="宋体" w:eastAsia="仿宋_GB2312" w:cs="宋体"/>
              </w:rPr>
              <w:t>人</w:t>
            </w:r>
          </w:p>
        </w:tc>
      </w:tr>
      <w:tr w14:paraId="43AAF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1135" w:type="dxa"/>
            <w:vAlign w:val="center"/>
          </w:tcPr>
          <w:p w14:paraId="5C02523C">
            <w:pPr>
              <w:spacing w:line="360" w:lineRule="exact"/>
              <w:jc w:val="center"/>
              <w:rPr>
                <w:b/>
                <w:bCs/>
                <w:color w:val="0D0D0D"/>
              </w:rPr>
            </w:pPr>
            <w:r>
              <w:rPr>
                <w:rFonts w:eastAsia="仿宋_GB2312"/>
                <w:b/>
                <w:bCs/>
              </w:rPr>
              <w:t>7.1</w:t>
            </w:r>
          </w:p>
        </w:tc>
        <w:tc>
          <w:tcPr>
            <w:tcW w:w="2431" w:type="dxa"/>
            <w:vAlign w:val="center"/>
          </w:tcPr>
          <w:p w14:paraId="41C027C3">
            <w:pPr>
              <w:spacing w:line="340" w:lineRule="exact"/>
              <w:jc w:val="center"/>
              <w:rPr>
                <w:rFonts w:ascii="仿宋_GB2312" w:hAnsi="宋体" w:eastAsia="仿宋_GB2312" w:cs="宋体"/>
              </w:rPr>
            </w:pPr>
            <w:r>
              <w:rPr>
                <w:rFonts w:hint="eastAsia" w:ascii="仿宋_GB2312" w:hAnsi="宋体" w:eastAsia="仿宋_GB2312" w:cs="宋体"/>
              </w:rPr>
              <w:t>签订合同的</w:t>
            </w:r>
          </w:p>
          <w:p w14:paraId="4537604A">
            <w:pPr>
              <w:spacing w:line="340" w:lineRule="exact"/>
              <w:jc w:val="center"/>
              <w:rPr>
                <w:rFonts w:eastAsia="仿宋_GB2312"/>
                <w:color w:val="0D0D0D"/>
              </w:rPr>
            </w:pPr>
            <w:r>
              <w:rPr>
                <w:rFonts w:hint="eastAsia" w:ascii="仿宋_GB2312" w:hAnsi="宋体" w:eastAsia="仿宋_GB2312" w:cs="宋体"/>
              </w:rPr>
              <w:t>时间要求</w:t>
            </w:r>
          </w:p>
        </w:tc>
        <w:tc>
          <w:tcPr>
            <w:tcW w:w="6150" w:type="dxa"/>
            <w:gridSpan w:val="2"/>
            <w:vAlign w:val="center"/>
          </w:tcPr>
          <w:p w14:paraId="72CEEB23">
            <w:pPr>
              <w:spacing w:line="360" w:lineRule="exact"/>
              <w:jc w:val="left"/>
              <w:rPr>
                <w:rFonts w:eastAsia="仿宋_GB2312"/>
                <w:color w:val="0D0D0D"/>
              </w:rPr>
            </w:pPr>
            <w:r>
              <w:rPr>
                <w:rFonts w:hint="eastAsia" w:ascii="仿宋_GB2312" w:hAnsi="宋体" w:eastAsia="仿宋_GB2312" w:cs="宋体"/>
              </w:rPr>
              <w:t>自成交通知书发出之日起</w:t>
            </w:r>
            <w:r>
              <w:rPr>
                <w:rFonts w:hint="eastAsia" w:eastAsia="仿宋_GB2312"/>
              </w:rPr>
              <w:t>30</w:t>
            </w:r>
            <w:r>
              <w:rPr>
                <w:rFonts w:hint="eastAsia" w:ascii="仿宋_GB2312" w:hAnsi="宋体" w:eastAsia="仿宋_GB2312" w:cs="宋体"/>
              </w:rPr>
              <w:t>日内</w:t>
            </w:r>
          </w:p>
        </w:tc>
      </w:tr>
      <w:tr w14:paraId="24B8E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135" w:type="dxa"/>
            <w:vAlign w:val="center"/>
          </w:tcPr>
          <w:p w14:paraId="5F297319">
            <w:pPr>
              <w:spacing w:line="360" w:lineRule="exact"/>
              <w:jc w:val="center"/>
              <w:rPr>
                <w:b/>
                <w:bCs/>
                <w:color w:val="0D0D0D"/>
              </w:rPr>
            </w:pPr>
            <w:r>
              <w:rPr>
                <w:b/>
                <w:bCs/>
                <w:color w:val="0D0D0D"/>
              </w:rPr>
              <w:t>8.1</w:t>
            </w:r>
          </w:p>
        </w:tc>
        <w:tc>
          <w:tcPr>
            <w:tcW w:w="2437" w:type="dxa"/>
            <w:gridSpan w:val="2"/>
            <w:vAlign w:val="center"/>
          </w:tcPr>
          <w:p w14:paraId="7048A623">
            <w:pPr>
              <w:jc w:val="center"/>
              <w:rPr>
                <w:rFonts w:eastAsia="仿宋_GB2312"/>
                <w:color w:val="0D0D0D"/>
              </w:rPr>
            </w:pPr>
            <w:r>
              <w:rPr>
                <w:rFonts w:hint="eastAsia" w:eastAsia="仿宋_GB2312" w:cs="宋体"/>
                <w:color w:val="0D0D0D"/>
              </w:rPr>
              <w:t>履约保证金</w:t>
            </w:r>
          </w:p>
        </w:tc>
        <w:tc>
          <w:tcPr>
            <w:tcW w:w="6144" w:type="dxa"/>
            <w:vAlign w:val="center"/>
          </w:tcPr>
          <w:p w14:paraId="119C3540">
            <w:pPr>
              <w:pStyle w:val="203"/>
              <w:spacing w:line="360" w:lineRule="exact"/>
              <w:ind w:left="0"/>
              <w:rPr>
                <w:rFonts w:eastAsia="仿宋_GB2312"/>
                <w:color w:val="0D0D0D"/>
              </w:rPr>
            </w:pPr>
            <w:r>
              <w:rPr>
                <w:rFonts w:hint="eastAsia" w:ascii="Times New Roman" w:hAnsi="Times New Roman" w:eastAsia="仿宋_GB2312"/>
                <w:szCs w:val="24"/>
              </w:rPr>
              <w:t>无需缴纳履约保证金</w:t>
            </w:r>
          </w:p>
        </w:tc>
      </w:tr>
      <w:tr w14:paraId="3051D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trPr>
        <w:tc>
          <w:tcPr>
            <w:tcW w:w="1135" w:type="dxa"/>
            <w:vAlign w:val="center"/>
          </w:tcPr>
          <w:p w14:paraId="6186BBD6">
            <w:pPr>
              <w:spacing w:line="360" w:lineRule="exact"/>
              <w:jc w:val="center"/>
              <w:rPr>
                <w:b/>
                <w:bCs/>
                <w:color w:val="0D0D0D"/>
              </w:rPr>
            </w:pPr>
            <w:r>
              <w:rPr>
                <w:rFonts w:eastAsia="仿宋_GB2312"/>
                <w:b/>
                <w:bCs/>
              </w:rPr>
              <w:t>9</w:t>
            </w:r>
          </w:p>
        </w:tc>
        <w:tc>
          <w:tcPr>
            <w:tcW w:w="8581" w:type="dxa"/>
            <w:gridSpan w:val="3"/>
            <w:vAlign w:val="center"/>
          </w:tcPr>
          <w:p w14:paraId="7F7651AA">
            <w:pPr>
              <w:spacing w:line="360" w:lineRule="exact"/>
              <w:jc w:val="center"/>
              <w:rPr>
                <w:rFonts w:eastAsia="仿宋_GB2312"/>
                <w:color w:val="0D0D0D"/>
              </w:rPr>
            </w:pPr>
            <w:r>
              <w:rPr>
                <w:rFonts w:hint="eastAsia" w:ascii="仿宋_GB2312" w:hAnsi="宋体" w:eastAsia="仿宋_GB2312" w:cs="宋体"/>
              </w:rPr>
              <w:t>需要补充的其他内容</w:t>
            </w:r>
          </w:p>
        </w:tc>
      </w:tr>
      <w:tr w14:paraId="67439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trPr>
        <w:tc>
          <w:tcPr>
            <w:tcW w:w="1135" w:type="dxa"/>
            <w:vAlign w:val="center"/>
          </w:tcPr>
          <w:p w14:paraId="41974103">
            <w:pPr>
              <w:spacing w:line="360" w:lineRule="exact"/>
              <w:jc w:val="center"/>
              <w:rPr>
                <w:b/>
                <w:bCs/>
                <w:color w:val="0D0D0D"/>
              </w:rPr>
            </w:pPr>
            <w:r>
              <w:rPr>
                <w:b/>
                <w:bCs/>
                <w:color w:val="0D0D0D"/>
              </w:rPr>
              <w:t>9.1</w:t>
            </w:r>
          </w:p>
        </w:tc>
        <w:tc>
          <w:tcPr>
            <w:tcW w:w="2437" w:type="dxa"/>
            <w:gridSpan w:val="2"/>
            <w:vAlign w:val="center"/>
          </w:tcPr>
          <w:p w14:paraId="56A779CA">
            <w:pPr>
              <w:spacing w:line="360" w:lineRule="exact"/>
              <w:jc w:val="center"/>
              <w:rPr>
                <w:b/>
                <w:color w:val="0D0D0D"/>
              </w:rPr>
            </w:pPr>
            <w:r>
              <w:rPr>
                <w:rFonts w:hint="eastAsia" w:eastAsia="仿宋_GB2312"/>
                <w:color w:val="0D0D0D"/>
              </w:rPr>
              <w:t>质疑和投诉</w:t>
            </w:r>
          </w:p>
        </w:tc>
        <w:tc>
          <w:tcPr>
            <w:tcW w:w="6144" w:type="dxa"/>
            <w:vAlign w:val="center"/>
          </w:tcPr>
          <w:p w14:paraId="41C8E3E8">
            <w:pPr>
              <w:spacing w:line="360" w:lineRule="exact"/>
              <w:jc w:val="left"/>
            </w:pPr>
            <w:r>
              <w:rPr>
                <w:rFonts w:hint="eastAsia" w:eastAsia="仿宋_GB2312"/>
                <w:color w:val="0D0D0D"/>
              </w:rPr>
              <w:t>按照《政府采购质疑和投诉办法》（财政部第94号令）处理</w:t>
            </w:r>
          </w:p>
        </w:tc>
      </w:tr>
      <w:tr w14:paraId="16243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1135" w:type="dxa"/>
            <w:vAlign w:val="center"/>
          </w:tcPr>
          <w:p w14:paraId="24A68D71">
            <w:pPr>
              <w:spacing w:line="360" w:lineRule="exact"/>
              <w:jc w:val="center"/>
              <w:rPr>
                <w:b/>
                <w:bCs/>
                <w:color w:val="0D0D0D"/>
              </w:rPr>
            </w:pPr>
            <w:r>
              <w:rPr>
                <w:b/>
                <w:bCs/>
                <w:color w:val="0D0D0D"/>
              </w:rPr>
              <w:t>9.2</w:t>
            </w:r>
          </w:p>
        </w:tc>
        <w:tc>
          <w:tcPr>
            <w:tcW w:w="2437" w:type="dxa"/>
            <w:gridSpan w:val="2"/>
            <w:vAlign w:val="center"/>
          </w:tcPr>
          <w:p w14:paraId="524095FC">
            <w:pPr>
              <w:spacing w:line="360" w:lineRule="exact"/>
              <w:jc w:val="center"/>
              <w:rPr>
                <w:rFonts w:eastAsia="仿宋_GB2312"/>
                <w:color w:val="0D0D0D"/>
              </w:rPr>
            </w:pPr>
            <w:r>
              <w:rPr>
                <w:rFonts w:hint="eastAsia" w:eastAsia="仿宋_GB2312"/>
                <w:color w:val="0D0D0D"/>
              </w:rPr>
              <w:t>文件的解释</w:t>
            </w:r>
          </w:p>
        </w:tc>
        <w:tc>
          <w:tcPr>
            <w:tcW w:w="6144" w:type="dxa"/>
            <w:vAlign w:val="center"/>
          </w:tcPr>
          <w:p w14:paraId="4F3C1738">
            <w:pPr>
              <w:spacing w:line="360" w:lineRule="exact"/>
              <w:rPr>
                <w:rFonts w:eastAsia="仿宋_GB2312"/>
                <w:color w:val="0D0D0D"/>
              </w:rPr>
            </w:pPr>
            <w:r>
              <w:rPr>
                <w:rFonts w:hint="eastAsia" w:eastAsia="仿宋_GB2312"/>
                <w:color w:val="0D0D0D"/>
              </w:rPr>
              <w:t>由采购人负责</w:t>
            </w:r>
          </w:p>
        </w:tc>
      </w:tr>
      <w:tr w14:paraId="44430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85" w:hRule="atLeast"/>
        </w:trPr>
        <w:tc>
          <w:tcPr>
            <w:tcW w:w="1135" w:type="dxa"/>
            <w:vAlign w:val="center"/>
          </w:tcPr>
          <w:p w14:paraId="750B8475">
            <w:pPr>
              <w:spacing w:line="360" w:lineRule="exact"/>
              <w:jc w:val="center"/>
              <w:rPr>
                <w:b/>
                <w:bCs/>
                <w:color w:val="0D0D0D"/>
              </w:rPr>
            </w:pPr>
            <w:r>
              <w:rPr>
                <w:b/>
                <w:bCs/>
                <w:color w:val="0D0D0D"/>
              </w:rPr>
              <w:t>9.</w:t>
            </w:r>
            <w:r>
              <w:rPr>
                <w:rFonts w:hint="eastAsia"/>
                <w:b/>
                <w:bCs/>
                <w:color w:val="0D0D0D"/>
              </w:rPr>
              <w:t>3</w:t>
            </w:r>
          </w:p>
        </w:tc>
        <w:tc>
          <w:tcPr>
            <w:tcW w:w="2437" w:type="dxa"/>
            <w:gridSpan w:val="2"/>
            <w:vAlign w:val="center"/>
          </w:tcPr>
          <w:p w14:paraId="15AA751F">
            <w:pPr>
              <w:spacing w:line="360" w:lineRule="exact"/>
              <w:jc w:val="center"/>
              <w:rPr>
                <w:rFonts w:eastAsia="仿宋_GB2312"/>
                <w:color w:val="0D0D0D"/>
              </w:rPr>
            </w:pPr>
            <w:r>
              <w:rPr>
                <w:rFonts w:hint="eastAsia" w:eastAsia="仿宋_GB2312"/>
                <w:color w:val="0D0D0D"/>
              </w:rPr>
              <w:t>其他</w:t>
            </w:r>
          </w:p>
        </w:tc>
        <w:tc>
          <w:tcPr>
            <w:tcW w:w="6144" w:type="dxa"/>
            <w:vAlign w:val="center"/>
          </w:tcPr>
          <w:p w14:paraId="2C85DF71">
            <w:pPr>
              <w:pStyle w:val="209"/>
              <w:spacing w:line="380" w:lineRule="exact"/>
              <w:jc w:val="both"/>
              <w:rPr>
                <w:rFonts w:eastAsia="仿宋_GB2312"/>
                <w:color w:val="0D0D0D"/>
                <w:sz w:val="24"/>
                <w:szCs w:val="24"/>
              </w:rPr>
            </w:pPr>
            <w:r>
              <w:rPr>
                <w:rFonts w:hint="eastAsia" w:eastAsia="仿宋_GB2312"/>
                <w:color w:val="0D0D0D"/>
                <w:sz w:val="24"/>
                <w:szCs w:val="24"/>
              </w:rPr>
              <w:t>供应商须在领取成交通知书</w:t>
            </w:r>
            <w:r>
              <w:rPr>
                <w:rFonts w:hint="eastAsia" w:eastAsia="仿宋_GB2312"/>
                <w:sz w:val="24"/>
                <w:szCs w:val="24"/>
              </w:rPr>
              <w:t>后30日</w:t>
            </w:r>
            <w:r>
              <w:rPr>
                <w:rFonts w:hint="eastAsia" w:eastAsia="仿宋_GB2312"/>
                <w:color w:val="0D0D0D"/>
                <w:sz w:val="24"/>
                <w:szCs w:val="24"/>
              </w:rPr>
              <w:t>内签订物业服务合同，合同签订后，未按照采购人的要求在规定的时间内委派相关人员履行合同的，甲方有权立即解除合同，由此产生的所有费用及损失由供应商承担</w:t>
            </w:r>
          </w:p>
        </w:tc>
      </w:tr>
    </w:tbl>
    <w:p w14:paraId="2C1EE3C2">
      <w:pPr>
        <w:spacing w:line="500" w:lineRule="exact"/>
        <w:outlineLvl w:val="1"/>
        <w:rPr>
          <w:rFonts w:ascii="黑体" w:hAnsi="黑体" w:eastAsia="黑体" w:cs="黑体"/>
          <w:b/>
          <w:bCs/>
          <w:color w:val="0D0D0D"/>
          <w:sz w:val="32"/>
          <w:szCs w:val="32"/>
        </w:rPr>
      </w:pPr>
      <w:bookmarkStart w:id="20" w:name="_Toc343525506"/>
      <w:bookmarkStart w:id="21" w:name="_Toc383438593"/>
      <w:bookmarkStart w:id="22" w:name="_Toc246996919"/>
      <w:bookmarkStart w:id="23" w:name="_Toc152045530"/>
      <w:bookmarkStart w:id="24" w:name="_Toc246996176"/>
      <w:bookmarkStart w:id="25" w:name="_Toc152042306"/>
      <w:bookmarkStart w:id="26" w:name="_Toc426469872"/>
      <w:bookmarkStart w:id="27" w:name="_Toc179632547"/>
      <w:bookmarkStart w:id="28" w:name="_Toc144974498"/>
      <w:bookmarkStart w:id="29" w:name="_Toc247085690"/>
      <w:bookmarkStart w:id="30" w:name="_Toc367784996"/>
      <w:r>
        <w:rPr>
          <w:rFonts w:eastAsia="黑体"/>
          <w:b/>
          <w:bCs/>
          <w:color w:val="0D0D0D"/>
          <w:sz w:val="32"/>
          <w:szCs w:val="32"/>
        </w:rPr>
        <w:t>1.</w:t>
      </w:r>
      <w:r>
        <w:rPr>
          <w:rFonts w:hint="eastAsia" w:ascii="黑体" w:hAnsi="黑体" w:eastAsia="黑体" w:cs="黑体"/>
          <w:b/>
          <w:bCs/>
          <w:color w:val="0D0D0D"/>
          <w:sz w:val="32"/>
          <w:szCs w:val="32"/>
        </w:rPr>
        <w:t>总则</w:t>
      </w:r>
    </w:p>
    <w:p w14:paraId="351AEBEF">
      <w:pPr>
        <w:spacing w:line="500" w:lineRule="exact"/>
        <w:outlineLvl w:val="2"/>
        <w:rPr>
          <w:rFonts w:eastAsia="楷体"/>
          <w:b/>
          <w:color w:val="0D0D0D"/>
          <w:sz w:val="28"/>
          <w:szCs w:val="28"/>
        </w:rPr>
      </w:pPr>
      <w:r>
        <w:rPr>
          <w:rFonts w:eastAsia="楷体"/>
          <w:b/>
          <w:color w:val="0D0D0D"/>
          <w:sz w:val="28"/>
          <w:szCs w:val="28"/>
        </w:rPr>
        <w:t>1.1</w:t>
      </w:r>
      <w:r>
        <w:rPr>
          <w:rFonts w:hint="eastAsia" w:hAnsi="楷体" w:eastAsia="楷体" w:cs="宋体"/>
          <w:b/>
          <w:color w:val="0D0D0D"/>
          <w:sz w:val="28"/>
          <w:szCs w:val="28"/>
        </w:rPr>
        <w:t>项目概况</w:t>
      </w:r>
      <w:bookmarkEnd w:id="20"/>
      <w:bookmarkEnd w:id="21"/>
      <w:bookmarkEnd w:id="22"/>
      <w:bookmarkEnd w:id="23"/>
      <w:bookmarkEnd w:id="24"/>
      <w:bookmarkEnd w:id="25"/>
      <w:bookmarkEnd w:id="26"/>
      <w:bookmarkEnd w:id="27"/>
      <w:bookmarkEnd w:id="28"/>
      <w:bookmarkEnd w:id="29"/>
    </w:p>
    <w:p w14:paraId="12ADFAA8">
      <w:pPr>
        <w:spacing w:line="500" w:lineRule="exact"/>
        <w:ind w:firstLine="560"/>
        <w:rPr>
          <w:rFonts w:eastAsia="仿宋_GB2312"/>
          <w:color w:val="0D0D0D"/>
          <w:sz w:val="28"/>
          <w:szCs w:val="28"/>
        </w:rPr>
      </w:pPr>
      <w:r>
        <w:rPr>
          <w:rFonts w:hint="eastAsia" w:eastAsia="仿宋_GB2312"/>
          <w:color w:val="0D0D0D"/>
          <w:sz w:val="28"/>
          <w:szCs w:val="28"/>
        </w:rPr>
        <w:t>1.1.1</w:t>
      </w:r>
      <w:bookmarkStart w:id="31" w:name="OLE_LINK1"/>
      <w:r>
        <w:rPr>
          <w:rFonts w:hint="eastAsia" w:eastAsia="仿宋_GB2312" w:cs="宋体"/>
          <w:color w:val="0D0D0D"/>
          <w:sz w:val="28"/>
          <w:szCs w:val="28"/>
        </w:rPr>
        <w:t>根据《中华人民共和国政府采购法》《中华人民共和国政府采购法实施条例》等有关法律、法规和规章的规定，本采购项目已具备采购条件，现对本项目进行竞争性磋商采购。</w:t>
      </w:r>
      <w:bookmarkEnd w:id="31"/>
    </w:p>
    <w:p w14:paraId="5B876431">
      <w:pPr>
        <w:spacing w:line="500" w:lineRule="exact"/>
        <w:ind w:firstLine="560"/>
        <w:rPr>
          <w:rFonts w:eastAsia="仿宋_GB2312"/>
          <w:color w:val="0D0D0D"/>
          <w:sz w:val="28"/>
          <w:szCs w:val="28"/>
        </w:rPr>
      </w:pPr>
      <w:r>
        <w:rPr>
          <w:rFonts w:hint="eastAsia" w:eastAsia="仿宋_GB2312"/>
          <w:color w:val="0D0D0D"/>
          <w:sz w:val="28"/>
          <w:szCs w:val="28"/>
        </w:rPr>
        <w:t>1.1.2</w:t>
      </w:r>
      <w:r>
        <w:rPr>
          <w:rFonts w:hint="eastAsia" w:eastAsia="仿宋_GB2312" w:cs="宋体"/>
          <w:color w:val="0D0D0D"/>
          <w:sz w:val="28"/>
          <w:szCs w:val="28"/>
        </w:rPr>
        <w:t>采购人：见供应商须知前附表。</w:t>
      </w:r>
    </w:p>
    <w:p w14:paraId="7C23C06F">
      <w:pPr>
        <w:spacing w:line="500" w:lineRule="exact"/>
        <w:ind w:firstLine="560"/>
        <w:rPr>
          <w:rFonts w:eastAsia="仿宋_GB2312"/>
          <w:color w:val="0D0D0D"/>
          <w:sz w:val="28"/>
          <w:szCs w:val="28"/>
        </w:rPr>
      </w:pPr>
      <w:r>
        <w:rPr>
          <w:rFonts w:hint="eastAsia" w:eastAsia="仿宋_GB2312"/>
          <w:color w:val="0D0D0D"/>
          <w:sz w:val="28"/>
          <w:szCs w:val="28"/>
        </w:rPr>
        <w:t>1.1.3</w:t>
      </w:r>
      <w:r>
        <w:rPr>
          <w:rFonts w:hint="eastAsia" w:eastAsia="仿宋_GB2312" w:cs="宋体"/>
          <w:color w:val="0D0D0D"/>
          <w:sz w:val="28"/>
          <w:szCs w:val="28"/>
        </w:rPr>
        <w:t>采购代理机构：见供应商须知前附表。</w:t>
      </w:r>
    </w:p>
    <w:p w14:paraId="5CBE297D">
      <w:pPr>
        <w:spacing w:line="500" w:lineRule="exact"/>
        <w:ind w:firstLine="560"/>
        <w:rPr>
          <w:rFonts w:eastAsia="仿宋_GB2312"/>
          <w:color w:val="0D0D0D"/>
          <w:sz w:val="28"/>
          <w:szCs w:val="28"/>
        </w:rPr>
      </w:pPr>
      <w:r>
        <w:rPr>
          <w:rFonts w:hint="eastAsia" w:eastAsia="仿宋_GB2312"/>
          <w:color w:val="0D0D0D"/>
          <w:sz w:val="28"/>
          <w:szCs w:val="28"/>
        </w:rPr>
        <w:t>1.1.4</w:t>
      </w:r>
      <w:r>
        <w:rPr>
          <w:rFonts w:hint="eastAsia" w:eastAsia="仿宋_GB2312" w:cs="宋体"/>
          <w:color w:val="0D0D0D"/>
          <w:sz w:val="28"/>
          <w:szCs w:val="28"/>
        </w:rPr>
        <w:t>项目名称及项目编号：见供应商须知前附表。</w:t>
      </w:r>
    </w:p>
    <w:p w14:paraId="12F38DB6">
      <w:pPr>
        <w:spacing w:line="500" w:lineRule="exact"/>
        <w:outlineLvl w:val="2"/>
        <w:rPr>
          <w:rFonts w:eastAsia="楷体"/>
          <w:b/>
          <w:color w:val="0D0D0D"/>
          <w:sz w:val="28"/>
          <w:szCs w:val="28"/>
        </w:rPr>
      </w:pPr>
      <w:bookmarkStart w:id="32" w:name="_Toc144974499"/>
      <w:bookmarkStart w:id="33" w:name="_Toc426469873"/>
      <w:bookmarkStart w:id="34" w:name="_Toc246996920"/>
      <w:bookmarkStart w:id="35" w:name="_Toc383438594"/>
      <w:bookmarkStart w:id="36" w:name="_Toc152042307"/>
      <w:bookmarkStart w:id="37" w:name="_Toc247085691"/>
      <w:bookmarkStart w:id="38" w:name="_Toc152045531"/>
      <w:bookmarkStart w:id="39" w:name="_Toc179632548"/>
      <w:bookmarkStart w:id="40" w:name="_Toc343525507"/>
      <w:bookmarkStart w:id="41" w:name="_Toc246996177"/>
      <w:r>
        <w:rPr>
          <w:rFonts w:eastAsia="楷体"/>
          <w:b/>
          <w:color w:val="0D0D0D"/>
          <w:sz w:val="28"/>
          <w:szCs w:val="28"/>
        </w:rPr>
        <w:t>1.2</w:t>
      </w:r>
      <w:bookmarkEnd w:id="32"/>
      <w:bookmarkEnd w:id="33"/>
      <w:bookmarkEnd w:id="34"/>
      <w:bookmarkEnd w:id="35"/>
      <w:bookmarkEnd w:id="36"/>
      <w:bookmarkEnd w:id="37"/>
      <w:bookmarkEnd w:id="38"/>
      <w:bookmarkEnd w:id="39"/>
      <w:bookmarkEnd w:id="40"/>
      <w:bookmarkEnd w:id="41"/>
      <w:r>
        <w:rPr>
          <w:rFonts w:hint="eastAsia" w:hAnsi="楷体" w:eastAsia="楷体"/>
          <w:b/>
          <w:color w:val="0D0D0D"/>
          <w:sz w:val="28"/>
          <w:szCs w:val="28"/>
        </w:rPr>
        <w:t>付款方式</w:t>
      </w:r>
    </w:p>
    <w:p w14:paraId="50B6CF1B">
      <w:pPr>
        <w:spacing w:line="500" w:lineRule="exact"/>
        <w:ind w:firstLine="560"/>
        <w:outlineLvl w:val="3"/>
        <w:rPr>
          <w:rFonts w:eastAsia="仿宋_GB2312" w:cs="宋体"/>
          <w:color w:val="0D0D0D"/>
          <w:sz w:val="28"/>
          <w:szCs w:val="28"/>
        </w:rPr>
      </w:pPr>
      <w:r>
        <w:rPr>
          <w:rFonts w:hint="eastAsia" w:eastAsia="仿宋_GB2312"/>
          <w:color w:val="0D0D0D"/>
          <w:sz w:val="28"/>
          <w:szCs w:val="28"/>
        </w:rPr>
        <w:t>1.2.1</w:t>
      </w:r>
      <w:r>
        <w:rPr>
          <w:rFonts w:hint="eastAsia" w:eastAsia="仿宋_GB2312" w:cs="宋体"/>
          <w:color w:val="0D0D0D"/>
          <w:sz w:val="28"/>
          <w:szCs w:val="28"/>
        </w:rPr>
        <w:t>付款方式：见供应商须知前附表。</w:t>
      </w:r>
    </w:p>
    <w:p w14:paraId="2529DA0D">
      <w:pPr>
        <w:spacing w:line="500" w:lineRule="exact"/>
        <w:outlineLvl w:val="2"/>
        <w:rPr>
          <w:rFonts w:eastAsia="楷体"/>
          <w:b/>
          <w:color w:val="0D0D0D"/>
          <w:sz w:val="28"/>
          <w:szCs w:val="28"/>
        </w:rPr>
      </w:pPr>
      <w:bookmarkStart w:id="42" w:name="_Toc144974500"/>
      <w:bookmarkStart w:id="43" w:name="_Toc343525508"/>
      <w:bookmarkStart w:id="44" w:name="_Toc152042308"/>
      <w:bookmarkStart w:id="45" w:name="_Toc179632549"/>
      <w:bookmarkStart w:id="46" w:name="_Toc152045532"/>
      <w:bookmarkStart w:id="47" w:name="_Toc383438595"/>
      <w:bookmarkStart w:id="48" w:name="_Toc246996178"/>
      <w:bookmarkStart w:id="49" w:name="_Toc246996921"/>
      <w:bookmarkStart w:id="50" w:name="_Toc247085692"/>
      <w:bookmarkStart w:id="51" w:name="_Toc426469874"/>
      <w:r>
        <w:rPr>
          <w:rFonts w:eastAsia="楷体"/>
          <w:b/>
          <w:color w:val="0D0D0D"/>
          <w:sz w:val="28"/>
          <w:szCs w:val="28"/>
        </w:rPr>
        <w:t>1.3</w:t>
      </w:r>
      <w:bookmarkEnd w:id="42"/>
      <w:bookmarkEnd w:id="43"/>
      <w:bookmarkEnd w:id="44"/>
      <w:bookmarkEnd w:id="45"/>
      <w:bookmarkEnd w:id="46"/>
      <w:bookmarkEnd w:id="47"/>
      <w:bookmarkEnd w:id="48"/>
      <w:bookmarkEnd w:id="49"/>
      <w:bookmarkEnd w:id="50"/>
      <w:r>
        <w:rPr>
          <w:rFonts w:hint="eastAsia" w:hAnsi="楷体" w:eastAsia="楷体"/>
          <w:b/>
          <w:color w:val="0D0D0D"/>
          <w:sz w:val="28"/>
          <w:szCs w:val="28"/>
        </w:rPr>
        <w:t>采购范围</w:t>
      </w:r>
      <w:bookmarkEnd w:id="51"/>
      <w:r>
        <w:rPr>
          <w:rFonts w:hint="eastAsia" w:hAnsi="楷体" w:eastAsia="楷体"/>
          <w:b/>
          <w:color w:val="0D0D0D"/>
          <w:sz w:val="28"/>
          <w:szCs w:val="28"/>
        </w:rPr>
        <w:t>与合同履行期限</w:t>
      </w:r>
    </w:p>
    <w:p w14:paraId="3FA0AA7F">
      <w:pPr>
        <w:spacing w:line="500" w:lineRule="exact"/>
        <w:ind w:firstLine="560"/>
        <w:rPr>
          <w:rFonts w:eastAsia="仿宋_GB2312"/>
          <w:color w:val="0D0D0D"/>
          <w:sz w:val="28"/>
          <w:szCs w:val="28"/>
        </w:rPr>
      </w:pPr>
      <w:r>
        <w:rPr>
          <w:rFonts w:hint="eastAsia" w:eastAsia="仿宋_GB2312"/>
          <w:color w:val="0D0D0D"/>
          <w:sz w:val="28"/>
          <w:szCs w:val="28"/>
        </w:rPr>
        <w:t>1.3.1</w:t>
      </w:r>
      <w:r>
        <w:rPr>
          <w:rFonts w:hint="eastAsia" w:eastAsia="仿宋_GB2312" w:cs="宋体"/>
          <w:color w:val="0D0D0D"/>
          <w:sz w:val="28"/>
          <w:szCs w:val="28"/>
        </w:rPr>
        <w:t>采购范围：见供应商须知前附表。</w:t>
      </w:r>
    </w:p>
    <w:p w14:paraId="4BE0460B">
      <w:pPr>
        <w:spacing w:line="500" w:lineRule="exact"/>
        <w:ind w:firstLine="560"/>
        <w:rPr>
          <w:rFonts w:eastAsia="仿宋_GB2312"/>
          <w:color w:val="0D0D0D"/>
          <w:sz w:val="28"/>
          <w:szCs w:val="28"/>
        </w:rPr>
      </w:pPr>
      <w:r>
        <w:rPr>
          <w:rFonts w:hint="eastAsia" w:eastAsia="仿宋_GB2312"/>
          <w:color w:val="0D0D0D"/>
          <w:sz w:val="28"/>
          <w:szCs w:val="28"/>
        </w:rPr>
        <w:t>1.3.2</w:t>
      </w:r>
      <w:r>
        <w:rPr>
          <w:rFonts w:hint="eastAsia" w:eastAsia="仿宋_GB2312" w:cs="宋体"/>
          <w:color w:val="0D0D0D"/>
          <w:sz w:val="28"/>
          <w:szCs w:val="28"/>
        </w:rPr>
        <w:t>合同履行期限：见供应商须知前附表。</w:t>
      </w:r>
    </w:p>
    <w:p w14:paraId="22F0C8AB">
      <w:pPr>
        <w:spacing w:line="500" w:lineRule="exact"/>
        <w:outlineLvl w:val="2"/>
        <w:rPr>
          <w:rFonts w:eastAsia="楷体"/>
          <w:b/>
          <w:color w:val="0D0D0D"/>
          <w:sz w:val="28"/>
          <w:szCs w:val="28"/>
        </w:rPr>
      </w:pPr>
      <w:bookmarkStart w:id="52" w:name="_Toc152045534"/>
      <w:bookmarkStart w:id="53" w:name="_Toc179632551"/>
      <w:bookmarkStart w:id="54" w:name="_Toc152042310"/>
      <w:bookmarkStart w:id="55" w:name="_Toc246996922"/>
      <w:bookmarkStart w:id="56" w:name="_Toc247085693"/>
      <w:bookmarkStart w:id="57" w:name="_Toc144974502"/>
      <w:bookmarkStart w:id="58" w:name="_Toc383438596"/>
      <w:bookmarkStart w:id="59" w:name="_Toc246996179"/>
      <w:bookmarkStart w:id="60" w:name="_Toc343525509"/>
      <w:bookmarkStart w:id="61" w:name="_Toc426469875"/>
      <w:r>
        <w:rPr>
          <w:rFonts w:eastAsia="楷体"/>
          <w:b/>
          <w:color w:val="0D0D0D"/>
          <w:sz w:val="28"/>
          <w:szCs w:val="28"/>
        </w:rPr>
        <w:t>1.4</w:t>
      </w:r>
      <w:r>
        <w:rPr>
          <w:rFonts w:hint="eastAsia" w:hAnsi="楷体" w:eastAsia="楷体"/>
          <w:b/>
          <w:color w:val="0D0D0D"/>
          <w:sz w:val="28"/>
          <w:szCs w:val="28"/>
        </w:rPr>
        <w:t>供应商资格要求</w:t>
      </w:r>
      <w:bookmarkEnd w:id="52"/>
      <w:bookmarkEnd w:id="53"/>
      <w:bookmarkEnd w:id="54"/>
      <w:bookmarkEnd w:id="55"/>
      <w:bookmarkEnd w:id="56"/>
      <w:bookmarkEnd w:id="57"/>
      <w:bookmarkEnd w:id="58"/>
      <w:bookmarkEnd w:id="59"/>
      <w:bookmarkEnd w:id="60"/>
      <w:bookmarkEnd w:id="61"/>
    </w:p>
    <w:p w14:paraId="42C38D84">
      <w:pPr>
        <w:spacing w:line="500" w:lineRule="exact"/>
        <w:ind w:firstLine="560"/>
        <w:outlineLvl w:val="3"/>
        <w:rPr>
          <w:rFonts w:eastAsia="仿宋_GB2312"/>
          <w:color w:val="0D0D0D"/>
          <w:sz w:val="28"/>
          <w:szCs w:val="28"/>
        </w:rPr>
      </w:pPr>
      <w:r>
        <w:rPr>
          <w:rFonts w:hint="eastAsia" w:eastAsia="仿宋_GB2312"/>
          <w:color w:val="0D0D0D"/>
          <w:sz w:val="28"/>
          <w:szCs w:val="28"/>
        </w:rPr>
        <w:t>1.4.1</w:t>
      </w:r>
      <w:r>
        <w:rPr>
          <w:rFonts w:hint="eastAsia" w:eastAsia="仿宋_GB2312" w:cs="宋体"/>
          <w:color w:val="0D0D0D"/>
          <w:sz w:val="28"/>
          <w:szCs w:val="28"/>
        </w:rPr>
        <w:t>供应商参加政府采购活动应当具备下列条件：</w:t>
      </w:r>
    </w:p>
    <w:p w14:paraId="5B8670AB">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1</w:t>
      </w:r>
      <w:r>
        <w:rPr>
          <w:rFonts w:hint="eastAsia" w:eastAsia="仿宋_GB2312" w:cs="宋体"/>
          <w:color w:val="0D0D0D"/>
          <w:sz w:val="28"/>
          <w:szCs w:val="28"/>
        </w:rPr>
        <w:t>）具有独立承担民事责任的能力；</w:t>
      </w:r>
    </w:p>
    <w:p w14:paraId="16F5E8D8">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2</w:t>
      </w:r>
      <w:r>
        <w:rPr>
          <w:rFonts w:hint="eastAsia" w:eastAsia="仿宋_GB2312" w:cs="宋体"/>
          <w:color w:val="0D0D0D"/>
          <w:sz w:val="28"/>
          <w:szCs w:val="28"/>
        </w:rPr>
        <w:t>）具有良好的商业信誉和健全的财务会计制度；</w:t>
      </w:r>
    </w:p>
    <w:p w14:paraId="2C96D530">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3</w:t>
      </w:r>
      <w:r>
        <w:rPr>
          <w:rFonts w:hint="eastAsia" w:eastAsia="仿宋_GB2312" w:cs="宋体"/>
          <w:color w:val="0D0D0D"/>
          <w:sz w:val="28"/>
          <w:szCs w:val="28"/>
        </w:rPr>
        <w:t>）具有履行合同所必需的设备和专业技术能力；</w:t>
      </w:r>
    </w:p>
    <w:p w14:paraId="0BB846AC">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4</w:t>
      </w:r>
      <w:r>
        <w:rPr>
          <w:rFonts w:hint="eastAsia" w:eastAsia="仿宋_GB2312" w:cs="宋体"/>
          <w:color w:val="0D0D0D"/>
          <w:sz w:val="28"/>
          <w:szCs w:val="28"/>
        </w:rPr>
        <w:t>）有依法缴纳税收和社会保障资金的良好记录；</w:t>
      </w:r>
    </w:p>
    <w:p w14:paraId="3CCD2B6C">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5</w:t>
      </w:r>
      <w:r>
        <w:rPr>
          <w:rFonts w:hint="eastAsia" w:eastAsia="仿宋_GB2312" w:cs="宋体"/>
          <w:color w:val="0D0D0D"/>
          <w:sz w:val="28"/>
          <w:szCs w:val="28"/>
        </w:rPr>
        <w:t>）参加政府采购活动前三年内，在经营活动中没有重大违法记录；</w:t>
      </w:r>
    </w:p>
    <w:p w14:paraId="27DFF224">
      <w:pPr>
        <w:spacing w:line="500" w:lineRule="exact"/>
        <w:ind w:firstLine="560"/>
        <w:outlineLvl w:val="4"/>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6</w:t>
      </w:r>
      <w:r>
        <w:rPr>
          <w:rFonts w:hint="eastAsia" w:eastAsia="仿宋_GB2312" w:cs="宋体"/>
          <w:color w:val="0D0D0D"/>
          <w:sz w:val="28"/>
          <w:szCs w:val="28"/>
        </w:rPr>
        <w:t>）法律、行政法规规定的其他条件。</w:t>
      </w:r>
    </w:p>
    <w:p w14:paraId="680DC3FB">
      <w:pPr>
        <w:spacing w:line="500" w:lineRule="exact"/>
        <w:ind w:firstLine="560" w:firstLineChars="200"/>
        <w:rPr>
          <w:rFonts w:eastAsia="仿宋_GB2312"/>
          <w:color w:val="0D0D0D"/>
          <w:sz w:val="28"/>
          <w:szCs w:val="28"/>
        </w:rPr>
      </w:pPr>
      <w:r>
        <w:rPr>
          <w:rFonts w:hint="eastAsia" w:eastAsia="仿宋_GB2312"/>
          <w:color w:val="0D0D0D"/>
          <w:sz w:val="28"/>
          <w:szCs w:val="28"/>
        </w:rPr>
        <w:t>1.4.2</w:t>
      </w:r>
      <w:r>
        <w:rPr>
          <w:rFonts w:hint="eastAsia" w:eastAsia="仿宋_GB2312" w:cs="宋体"/>
          <w:color w:val="0D0D0D"/>
          <w:sz w:val="28"/>
          <w:szCs w:val="28"/>
        </w:rPr>
        <w:t>根据采购项目特殊要求，要求供应商具备的特定条件：见供应商须知前附表。</w:t>
      </w:r>
    </w:p>
    <w:p w14:paraId="7C6FCE36">
      <w:pPr>
        <w:spacing w:line="500" w:lineRule="exact"/>
        <w:ind w:firstLine="560"/>
        <w:outlineLvl w:val="3"/>
        <w:rPr>
          <w:rFonts w:eastAsia="仿宋_GB2312"/>
          <w:color w:val="0D0D0D"/>
          <w:sz w:val="28"/>
          <w:szCs w:val="28"/>
        </w:rPr>
      </w:pPr>
      <w:r>
        <w:rPr>
          <w:rFonts w:hint="eastAsia" w:eastAsia="仿宋_GB2312"/>
          <w:color w:val="0D0D0D"/>
          <w:sz w:val="28"/>
          <w:szCs w:val="28"/>
        </w:rPr>
        <w:t>1.4.3</w:t>
      </w:r>
      <w:r>
        <w:rPr>
          <w:rFonts w:hint="eastAsia" w:eastAsia="仿宋_GB2312" w:cs="宋体"/>
          <w:color w:val="0D0D0D"/>
          <w:sz w:val="28"/>
          <w:szCs w:val="28"/>
        </w:rPr>
        <w:t>供应商不得存在下列情形之一：</w:t>
      </w:r>
    </w:p>
    <w:p w14:paraId="6AB7626B">
      <w:pPr>
        <w:spacing w:line="500" w:lineRule="exact"/>
        <w:ind w:firstLine="560" w:firstLineChars="200"/>
        <w:rPr>
          <w:rFonts w:eastAsia="仿宋_GB2312" w:cs="宋体"/>
          <w:color w:val="0D0D0D"/>
          <w:sz w:val="28"/>
          <w:szCs w:val="28"/>
        </w:rPr>
      </w:pPr>
      <w:r>
        <w:rPr>
          <w:rFonts w:hint="eastAsia" w:eastAsia="仿宋_GB2312" w:cs="宋体"/>
          <w:color w:val="0D0D0D"/>
          <w:sz w:val="28"/>
          <w:szCs w:val="28"/>
        </w:rPr>
        <w:t>（</w:t>
      </w:r>
      <w:r>
        <w:rPr>
          <w:rFonts w:hint="eastAsia" w:eastAsia="仿宋_GB2312"/>
          <w:color w:val="0D0D0D"/>
          <w:sz w:val="28"/>
          <w:szCs w:val="28"/>
        </w:rPr>
        <w:t>1</w:t>
      </w:r>
      <w:r>
        <w:rPr>
          <w:rFonts w:hint="eastAsia" w:eastAsia="仿宋_GB2312" w:cs="宋体"/>
          <w:color w:val="0D0D0D"/>
          <w:sz w:val="28"/>
          <w:szCs w:val="28"/>
        </w:rPr>
        <w:t>）与采购人或采购代理机构存在隶属关系或者其他利害关系；</w:t>
      </w:r>
    </w:p>
    <w:p w14:paraId="4904B474">
      <w:pPr>
        <w:spacing w:line="500" w:lineRule="exact"/>
        <w:ind w:firstLine="560" w:firstLineChars="200"/>
        <w:rPr>
          <w:rFonts w:eastAsia="仿宋_GB2312" w:cs="宋体"/>
          <w:color w:val="0D0D0D"/>
          <w:sz w:val="28"/>
          <w:szCs w:val="28"/>
        </w:rPr>
      </w:pPr>
      <w:r>
        <w:rPr>
          <w:rFonts w:hint="eastAsia" w:eastAsia="仿宋_GB2312" w:cs="宋体"/>
          <w:color w:val="0D0D0D"/>
          <w:sz w:val="28"/>
          <w:szCs w:val="28"/>
        </w:rPr>
        <w:t>（2）为采购项目提供了整体设计、规范编制或者项目管理、监理、检测等服务；</w:t>
      </w:r>
    </w:p>
    <w:p w14:paraId="57D03B21">
      <w:pPr>
        <w:spacing w:line="500" w:lineRule="exact"/>
        <w:ind w:firstLine="560" w:firstLineChars="200"/>
        <w:rPr>
          <w:rFonts w:eastAsia="仿宋_GB2312" w:cs="宋体"/>
          <w:color w:val="0D0D0D"/>
          <w:sz w:val="28"/>
          <w:szCs w:val="28"/>
        </w:rPr>
      </w:pPr>
      <w:r>
        <w:rPr>
          <w:rFonts w:hint="eastAsia" w:eastAsia="仿宋_GB2312" w:cs="宋体"/>
          <w:color w:val="0D0D0D"/>
          <w:sz w:val="28"/>
          <w:szCs w:val="28"/>
        </w:rPr>
        <w:t>（3）单位负责人为同一人或者存在直接控股、管理关系的不同供应商，参加同一合同项下的政府采购活动；</w:t>
      </w:r>
    </w:p>
    <w:p w14:paraId="645ED858">
      <w:pPr>
        <w:spacing w:line="500" w:lineRule="exact"/>
        <w:ind w:firstLine="560" w:firstLineChars="200"/>
        <w:rPr>
          <w:rFonts w:eastAsia="仿宋_GB2312" w:cs="宋体"/>
          <w:color w:val="0D0D0D"/>
          <w:sz w:val="28"/>
          <w:szCs w:val="28"/>
        </w:rPr>
      </w:pPr>
      <w:r>
        <w:rPr>
          <w:rFonts w:hint="eastAsia" w:eastAsia="仿宋_GB2312" w:cs="宋体"/>
          <w:color w:val="0D0D0D"/>
          <w:sz w:val="28"/>
          <w:szCs w:val="28"/>
        </w:rPr>
        <w:t>（4）以联合体形式参加政府采购活动的，联合体各方再单独参加或者与其他供应商另外组成联合体参加同一合同项下的政府采购活动；</w:t>
      </w:r>
    </w:p>
    <w:p w14:paraId="565D400A">
      <w:pPr>
        <w:spacing w:line="500" w:lineRule="exact"/>
        <w:ind w:firstLine="560" w:firstLineChars="200"/>
        <w:outlineLvl w:val="4"/>
        <w:rPr>
          <w:rFonts w:eastAsia="仿宋_GB2312"/>
          <w:color w:val="0D0D0D"/>
          <w:sz w:val="28"/>
          <w:szCs w:val="28"/>
        </w:rPr>
      </w:pPr>
      <w:r>
        <w:rPr>
          <w:rFonts w:hint="eastAsia" w:eastAsia="仿宋_GB2312" w:cs="宋体"/>
          <w:color w:val="0D0D0D"/>
          <w:sz w:val="28"/>
          <w:szCs w:val="28"/>
        </w:rPr>
        <w:t>（5）法律、行政法规规定的其他条件。</w:t>
      </w:r>
    </w:p>
    <w:p w14:paraId="7FC722F8">
      <w:pPr>
        <w:spacing w:line="500" w:lineRule="exact"/>
        <w:outlineLvl w:val="2"/>
        <w:rPr>
          <w:rFonts w:eastAsia="楷体"/>
          <w:b/>
          <w:color w:val="0D0D0D"/>
          <w:sz w:val="28"/>
          <w:szCs w:val="28"/>
        </w:rPr>
      </w:pPr>
      <w:bookmarkStart w:id="62" w:name="_Toc426469876"/>
      <w:bookmarkStart w:id="63" w:name="_Toc246996180"/>
      <w:bookmarkStart w:id="64" w:name="_Toc247085694"/>
      <w:bookmarkStart w:id="65" w:name="_Toc144974503"/>
      <w:bookmarkStart w:id="66" w:name="_Toc152042311"/>
      <w:bookmarkStart w:id="67" w:name="_Toc179632552"/>
      <w:bookmarkStart w:id="68" w:name="_Toc246996923"/>
      <w:bookmarkStart w:id="69" w:name="_Toc383438597"/>
      <w:bookmarkStart w:id="70" w:name="_Toc343525510"/>
      <w:bookmarkStart w:id="71" w:name="_Toc152045535"/>
      <w:r>
        <w:rPr>
          <w:rFonts w:eastAsia="楷体"/>
          <w:b/>
          <w:color w:val="0D0D0D"/>
          <w:sz w:val="28"/>
          <w:szCs w:val="28"/>
        </w:rPr>
        <w:t>1.5</w:t>
      </w:r>
      <w:r>
        <w:rPr>
          <w:rFonts w:hint="eastAsia" w:hAnsi="楷体" w:eastAsia="楷体" w:cs="宋体"/>
          <w:b/>
          <w:color w:val="0D0D0D"/>
          <w:sz w:val="28"/>
          <w:szCs w:val="28"/>
        </w:rPr>
        <w:t>费用承担</w:t>
      </w:r>
      <w:bookmarkEnd w:id="62"/>
      <w:bookmarkEnd w:id="63"/>
      <w:bookmarkEnd w:id="64"/>
      <w:bookmarkEnd w:id="65"/>
      <w:bookmarkEnd w:id="66"/>
      <w:bookmarkEnd w:id="67"/>
      <w:bookmarkEnd w:id="68"/>
      <w:bookmarkEnd w:id="69"/>
      <w:bookmarkEnd w:id="70"/>
      <w:bookmarkEnd w:id="71"/>
    </w:p>
    <w:p w14:paraId="6606246F">
      <w:pPr>
        <w:spacing w:line="500" w:lineRule="exact"/>
        <w:ind w:firstLine="560"/>
        <w:rPr>
          <w:rFonts w:eastAsia="仿宋_GB2312"/>
          <w:color w:val="0D0D0D"/>
          <w:sz w:val="28"/>
          <w:szCs w:val="28"/>
        </w:rPr>
      </w:pPr>
      <w:r>
        <w:rPr>
          <w:rFonts w:hint="eastAsia" w:eastAsia="仿宋_GB2312" w:cs="宋体"/>
          <w:color w:val="0D0D0D"/>
          <w:sz w:val="28"/>
          <w:szCs w:val="28"/>
        </w:rPr>
        <w:t>无论采购结果如何，供应商为准备和参加采购活动发生的费用自理。</w:t>
      </w:r>
    </w:p>
    <w:p w14:paraId="4E750634">
      <w:pPr>
        <w:spacing w:line="500" w:lineRule="exact"/>
        <w:outlineLvl w:val="2"/>
        <w:rPr>
          <w:rFonts w:eastAsia="楷体"/>
          <w:b/>
          <w:color w:val="0D0D0D"/>
          <w:sz w:val="28"/>
          <w:szCs w:val="28"/>
        </w:rPr>
      </w:pPr>
      <w:bookmarkStart w:id="72" w:name="_Toc144974505"/>
      <w:bookmarkStart w:id="73" w:name="_Toc246996182"/>
      <w:bookmarkStart w:id="74" w:name="_Toc179632554"/>
      <w:bookmarkStart w:id="75" w:name="_Toc152042313"/>
      <w:bookmarkStart w:id="76" w:name="_Toc246996925"/>
      <w:bookmarkStart w:id="77" w:name="_Toc247085696"/>
      <w:bookmarkStart w:id="78" w:name="_Toc152045537"/>
      <w:bookmarkStart w:id="79" w:name="_Toc383438599"/>
      <w:bookmarkStart w:id="80" w:name="_Toc343525512"/>
      <w:bookmarkStart w:id="81" w:name="_Toc426469878"/>
      <w:r>
        <w:rPr>
          <w:rFonts w:eastAsia="楷体"/>
          <w:b/>
          <w:color w:val="0D0D0D"/>
          <w:sz w:val="28"/>
          <w:szCs w:val="28"/>
        </w:rPr>
        <w:t>1.</w:t>
      </w:r>
      <w:r>
        <w:rPr>
          <w:rFonts w:hint="eastAsia" w:eastAsia="楷体"/>
          <w:b/>
          <w:color w:val="0D0D0D"/>
          <w:sz w:val="28"/>
          <w:szCs w:val="28"/>
        </w:rPr>
        <w:t>6</w:t>
      </w:r>
      <w:r>
        <w:rPr>
          <w:rFonts w:hint="eastAsia" w:hAnsi="楷体" w:eastAsia="楷体" w:cs="宋体"/>
          <w:b/>
          <w:color w:val="0D0D0D"/>
          <w:sz w:val="28"/>
          <w:szCs w:val="28"/>
        </w:rPr>
        <w:t>语言</w:t>
      </w:r>
      <w:bookmarkEnd w:id="72"/>
      <w:r>
        <w:rPr>
          <w:rFonts w:hint="eastAsia" w:hAnsi="楷体" w:eastAsia="楷体" w:cs="宋体"/>
          <w:b/>
          <w:color w:val="0D0D0D"/>
          <w:sz w:val="28"/>
          <w:szCs w:val="28"/>
        </w:rPr>
        <w:t>文字</w:t>
      </w:r>
      <w:bookmarkEnd w:id="73"/>
      <w:bookmarkEnd w:id="74"/>
      <w:bookmarkEnd w:id="75"/>
      <w:bookmarkEnd w:id="76"/>
      <w:bookmarkEnd w:id="77"/>
      <w:bookmarkEnd w:id="78"/>
      <w:bookmarkEnd w:id="79"/>
      <w:bookmarkEnd w:id="80"/>
      <w:bookmarkEnd w:id="81"/>
    </w:p>
    <w:p w14:paraId="54C9AB73">
      <w:pPr>
        <w:spacing w:line="500" w:lineRule="exact"/>
        <w:ind w:firstLine="560"/>
        <w:rPr>
          <w:rFonts w:eastAsia="仿宋_GB2312"/>
          <w:color w:val="0D0D0D"/>
          <w:sz w:val="28"/>
          <w:szCs w:val="28"/>
        </w:rPr>
      </w:pPr>
      <w:bookmarkStart w:id="82" w:name="_Toc152045538"/>
      <w:bookmarkStart w:id="83" w:name="_Toc152042314"/>
      <w:bookmarkStart w:id="84" w:name="_Toc179632555"/>
      <w:bookmarkStart w:id="85" w:name="_Toc144974506"/>
      <w:bookmarkStart w:id="86" w:name="_Toc246996183"/>
      <w:bookmarkStart w:id="87" w:name="_Toc246996926"/>
      <w:bookmarkStart w:id="88" w:name="_Toc247085697"/>
      <w:r>
        <w:rPr>
          <w:rFonts w:hint="eastAsia" w:eastAsia="仿宋_GB2312" w:cs="宋体"/>
          <w:color w:val="0D0D0D"/>
          <w:sz w:val="28"/>
          <w:szCs w:val="28"/>
        </w:rPr>
        <w:t>响应文件使用的语言文字为中文。专用术语使用外文的，应附有中文注释。</w:t>
      </w:r>
    </w:p>
    <w:p w14:paraId="6CA0F680">
      <w:pPr>
        <w:spacing w:line="500" w:lineRule="exact"/>
        <w:outlineLvl w:val="2"/>
        <w:rPr>
          <w:rFonts w:eastAsia="楷体"/>
          <w:b/>
          <w:color w:val="0D0D0D"/>
          <w:sz w:val="28"/>
          <w:szCs w:val="28"/>
        </w:rPr>
      </w:pPr>
      <w:bookmarkStart w:id="89" w:name="_Toc343525513"/>
      <w:bookmarkStart w:id="90" w:name="_Toc383438600"/>
      <w:bookmarkStart w:id="91" w:name="_Toc426469879"/>
      <w:r>
        <w:rPr>
          <w:rFonts w:eastAsia="楷体"/>
          <w:b/>
          <w:color w:val="0D0D0D"/>
          <w:sz w:val="28"/>
          <w:szCs w:val="28"/>
        </w:rPr>
        <w:t>1.</w:t>
      </w:r>
      <w:r>
        <w:rPr>
          <w:rFonts w:hint="eastAsia" w:eastAsia="楷体"/>
          <w:b/>
          <w:color w:val="0D0D0D"/>
          <w:sz w:val="28"/>
          <w:szCs w:val="28"/>
        </w:rPr>
        <w:t>7</w:t>
      </w:r>
      <w:r>
        <w:rPr>
          <w:rFonts w:hint="eastAsia" w:hAnsi="楷体" w:eastAsia="楷体" w:cs="宋体"/>
          <w:b/>
          <w:color w:val="0D0D0D"/>
          <w:sz w:val="28"/>
          <w:szCs w:val="28"/>
        </w:rPr>
        <w:t>计量单位</w:t>
      </w:r>
      <w:bookmarkEnd w:id="82"/>
      <w:bookmarkEnd w:id="83"/>
      <w:bookmarkEnd w:id="84"/>
      <w:bookmarkEnd w:id="85"/>
      <w:bookmarkEnd w:id="86"/>
      <w:bookmarkEnd w:id="87"/>
      <w:bookmarkEnd w:id="88"/>
      <w:bookmarkEnd w:id="89"/>
      <w:bookmarkEnd w:id="90"/>
      <w:bookmarkEnd w:id="91"/>
    </w:p>
    <w:p w14:paraId="30617CB2">
      <w:pPr>
        <w:spacing w:line="500" w:lineRule="exact"/>
        <w:ind w:firstLine="560"/>
        <w:rPr>
          <w:rFonts w:eastAsia="仿宋_GB2312" w:cs="宋体"/>
          <w:color w:val="0D0D0D"/>
          <w:sz w:val="28"/>
          <w:szCs w:val="28"/>
        </w:rPr>
      </w:pPr>
      <w:r>
        <w:rPr>
          <w:rFonts w:hint="eastAsia" w:eastAsia="仿宋_GB2312" w:cs="宋体"/>
          <w:color w:val="0D0D0D"/>
          <w:sz w:val="28"/>
          <w:szCs w:val="28"/>
        </w:rPr>
        <w:t>所有计量均采用中华人民共和国法定计量单位。</w:t>
      </w:r>
    </w:p>
    <w:p w14:paraId="3EACD0A4">
      <w:pPr>
        <w:spacing w:line="500" w:lineRule="exact"/>
        <w:outlineLvl w:val="2"/>
        <w:rPr>
          <w:rFonts w:eastAsia="楷体"/>
          <w:b/>
          <w:sz w:val="28"/>
          <w:szCs w:val="28"/>
        </w:rPr>
      </w:pPr>
      <w:r>
        <w:rPr>
          <w:rFonts w:hint="eastAsia" w:eastAsia="楷体"/>
          <w:b/>
          <w:sz w:val="28"/>
          <w:szCs w:val="28"/>
        </w:rPr>
        <w:t>1.8分包</w:t>
      </w:r>
    </w:p>
    <w:p w14:paraId="1A47FD03">
      <w:pPr>
        <w:spacing w:line="500" w:lineRule="exact"/>
        <w:ind w:firstLine="560"/>
        <w:rPr>
          <w:rFonts w:eastAsia="仿宋_GB2312" w:cs="宋体"/>
          <w:sz w:val="28"/>
          <w:szCs w:val="28"/>
        </w:rPr>
      </w:pPr>
      <w:r>
        <w:rPr>
          <w:rFonts w:hint="eastAsia" w:eastAsia="仿宋_GB2312" w:cs="宋体"/>
          <w:sz w:val="28"/>
          <w:szCs w:val="28"/>
        </w:rPr>
        <w:t>具体见前附表。</w:t>
      </w:r>
    </w:p>
    <w:p w14:paraId="37E2EC0B">
      <w:pPr>
        <w:spacing w:line="500" w:lineRule="exact"/>
        <w:outlineLvl w:val="1"/>
        <w:rPr>
          <w:rFonts w:eastAsia="黑体"/>
          <w:b/>
          <w:bCs/>
          <w:color w:val="0D0D0D"/>
          <w:sz w:val="32"/>
          <w:szCs w:val="32"/>
        </w:rPr>
      </w:pPr>
      <w:bookmarkStart w:id="92" w:name="_Toc426469882"/>
      <w:bookmarkStart w:id="93" w:name="_Toc383438604"/>
      <w:bookmarkStart w:id="94" w:name="_Toc343525517"/>
      <w:r>
        <w:rPr>
          <w:rFonts w:hint="eastAsia" w:hAnsi="黑体" w:eastAsia="黑体" w:cs="宋体"/>
          <w:b/>
          <w:bCs/>
          <w:color w:val="0D0D0D"/>
          <w:sz w:val="32"/>
          <w:szCs w:val="32"/>
        </w:rPr>
        <w:t>2.竞争性磋商文件</w:t>
      </w:r>
      <w:bookmarkEnd w:id="92"/>
      <w:bookmarkEnd w:id="93"/>
      <w:bookmarkEnd w:id="94"/>
    </w:p>
    <w:p w14:paraId="2959AFD3">
      <w:pPr>
        <w:spacing w:line="500" w:lineRule="exact"/>
        <w:outlineLvl w:val="2"/>
        <w:rPr>
          <w:rFonts w:eastAsia="楷体"/>
          <w:b/>
          <w:color w:val="0D0D0D"/>
          <w:sz w:val="28"/>
          <w:szCs w:val="28"/>
        </w:rPr>
      </w:pPr>
      <w:bookmarkStart w:id="95" w:name="_Toc152042319"/>
      <w:bookmarkStart w:id="96" w:name="_Toc246996188"/>
      <w:bookmarkStart w:id="97" w:name="_Toc179632561"/>
      <w:bookmarkStart w:id="98" w:name="_Toc246996931"/>
      <w:bookmarkStart w:id="99" w:name="_Toc426469883"/>
      <w:bookmarkStart w:id="100" w:name="_Toc144974511"/>
      <w:bookmarkStart w:id="101" w:name="_Toc247085702"/>
      <w:bookmarkStart w:id="102" w:name="_Toc152045543"/>
      <w:bookmarkStart w:id="103" w:name="_Toc383438605"/>
      <w:bookmarkStart w:id="104" w:name="_Toc343525518"/>
      <w:r>
        <w:rPr>
          <w:rFonts w:eastAsia="楷体"/>
          <w:b/>
          <w:color w:val="0D0D0D"/>
          <w:sz w:val="28"/>
          <w:szCs w:val="28"/>
        </w:rPr>
        <w:t>2.</w:t>
      </w:r>
      <w:r>
        <w:rPr>
          <w:rFonts w:hint="eastAsia" w:eastAsia="楷体"/>
          <w:b/>
          <w:color w:val="0D0D0D"/>
          <w:sz w:val="28"/>
          <w:szCs w:val="28"/>
        </w:rPr>
        <w:t>1</w:t>
      </w:r>
      <w:r>
        <w:rPr>
          <w:rFonts w:hint="eastAsia" w:hAnsi="楷体" w:eastAsia="楷体" w:cs="宋体"/>
          <w:b/>
          <w:color w:val="0D0D0D"/>
          <w:sz w:val="28"/>
          <w:szCs w:val="28"/>
        </w:rPr>
        <w:t>竞争性磋商文件的组成</w:t>
      </w:r>
      <w:bookmarkEnd w:id="95"/>
      <w:bookmarkEnd w:id="96"/>
      <w:bookmarkEnd w:id="97"/>
      <w:bookmarkEnd w:id="98"/>
      <w:bookmarkEnd w:id="99"/>
      <w:bookmarkEnd w:id="100"/>
      <w:bookmarkEnd w:id="101"/>
      <w:bookmarkEnd w:id="102"/>
      <w:bookmarkEnd w:id="103"/>
      <w:bookmarkEnd w:id="104"/>
    </w:p>
    <w:p w14:paraId="7FE65AD1">
      <w:pPr>
        <w:spacing w:line="500" w:lineRule="exact"/>
        <w:ind w:firstLine="560"/>
        <w:outlineLvl w:val="3"/>
        <w:rPr>
          <w:rFonts w:eastAsia="仿宋_GB2312"/>
          <w:color w:val="0D0D0D"/>
          <w:sz w:val="28"/>
          <w:szCs w:val="28"/>
        </w:rPr>
      </w:pPr>
      <w:r>
        <w:rPr>
          <w:rFonts w:hint="eastAsia" w:eastAsia="仿宋_GB2312"/>
          <w:color w:val="0D0D0D"/>
          <w:sz w:val="28"/>
          <w:szCs w:val="28"/>
        </w:rPr>
        <w:t>2.1.1</w:t>
      </w:r>
      <w:r>
        <w:rPr>
          <w:rFonts w:hint="eastAsia" w:eastAsia="仿宋_GB2312" w:cs="宋体"/>
          <w:color w:val="0D0D0D"/>
          <w:sz w:val="28"/>
          <w:szCs w:val="28"/>
        </w:rPr>
        <w:t>本竞争性磋商文件包括：</w:t>
      </w:r>
    </w:p>
    <w:p w14:paraId="3B0BFECC">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1</w:t>
      </w:r>
      <w:r>
        <w:rPr>
          <w:rFonts w:hint="eastAsia" w:eastAsia="仿宋_GB2312" w:cs="宋体"/>
          <w:color w:val="0D0D0D"/>
          <w:sz w:val="28"/>
          <w:szCs w:val="28"/>
        </w:rPr>
        <w:t>）竞争性磋商公告；</w:t>
      </w:r>
    </w:p>
    <w:p w14:paraId="5F0BACD1">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2</w:t>
      </w:r>
      <w:r>
        <w:rPr>
          <w:rFonts w:hint="eastAsia" w:eastAsia="仿宋_GB2312" w:cs="宋体"/>
          <w:color w:val="0D0D0D"/>
          <w:sz w:val="28"/>
          <w:szCs w:val="28"/>
        </w:rPr>
        <w:t>）供应商须知；</w:t>
      </w:r>
    </w:p>
    <w:p w14:paraId="645DAA1B">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3</w:t>
      </w:r>
      <w:r>
        <w:rPr>
          <w:rFonts w:hint="eastAsia" w:eastAsia="仿宋_GB2312" w:cs="宋体"/>
          <w:color w:val="0D0D0D"/>
          <w:sz w:val="28"/>
          <w:szCs w:val="28"/>
        </w:rPr>
        <w:t>）竞争性磋商；</w:t>
      </w:r>
    </w:p>
    <w:p w14:paraId="3A27CE47">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4</w:t>
      </w:r>
      <w:r>
        <w:rPr>
          <w:rFonts w:hint="eastAsia" w:eastAsia="仿宋_GB2312" w:cs="宋体"/>
          <w:color w:val="0D0D0D"/>
          <w:sz w:val="28"/>
          <w:szCs w:val="28"/>
        </w:rPr>
        <w:t>）合同条款及格式；</w:t>
      </w:r>
    </w:p>
    <w:p w14:paraId="6E35BC6F">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5</w:t>
      </w:r>
      <w:r>
        <w:rPr>
          <w:rFonts w:hint="eastAsia" w:eastAsia="仿宋_GB2312" w:cs="宋体"/>
          <w:color w:val="0D0D0D"/>
          <w:sz w:val="28"/>
          <w:szCs w:val="28"/>
        </w:rPr>
        <w:t>）</w:t>
      </w:r>
      <w:r>
        <w:rPr>
          <w:rFonts w:hint="eastAsia" w:eastAsia="仿宋_GB2312"/>
          <w:color w:val="0D0D0D"/>
          <w:sz w:val="28"/>
          <w:szCs w:val="28"/>
        </w:rPr>
        <w:t>采购需求</w:t>
      </w:r>
      <w:r>
        <w:rPr>
          <w:rFonts w:hint="eastAsia" w:eastAsia="仿宋_GB2312" w:cs="宋体"/>
          <w:color w:val="0D0D0D"/>
          <w:sz w:val="28"/>
          <w:szCs w:val="28"/>
        </w:rPr>
        <w:t>；</w:t>
      </w:r>
    </w:p>
    <w:p w14:paraId="6E2B4C4F">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6</w:t>
      </w:r>
      <w:r>
        <w:rPr>
          <w:rFonts w:hint="eastAsia" w:eastAsia="仿宋_GB2312" w:cs="宋体"/>
          <w:color w:val="0D0D0D"/>
          <w:sz w:val="28"/>
          <w:szCs w:val="28"/>
        </w:rPr>
        <w:t>）响应文件的编制要求及参考格式；</w:t>
      </w:r>
    </w:p>
    <w:p w14:paraId="0F1DFDCA">
      <w:pPr>
        <w:spacing w:line="500" w:lineRule="exact"/>
        <w:ind w:firstLine="560"/>
        <w:rPr>
          <w:rFonts w:eastAsia="仿宋_GB2312"/>
          <w:color w:val="0D0D0D"/>
          <w:sz w:val="28"/>
          <w:szCs w:val="28"/>
        </w:rPr>
      </w:pPr>
      <w:r>
        <w:rPr>
          <w:rFonts w:hint="eastAsia" w:eastAsia="仿宋_GB2312" w:cs="宋体"/>
          <w:color w:val="0D0D0D"/>
          <w:sz w:val="28"/>
          <w:szCs w:val="28"/>
        </w:rPr>
        <w:t>（</w:t>
      </w:r>
      <w:r>
        <w:rPr>
          <w:rFonts w:hint="eastAsia" w:eastAsia="仿宋_GB2312"/>
          <w:color w:val="0D0D0D"/>
          <w:sz w:val="28"/>
          <w:szCs w:val="28"/>
        </w:rPr>
        <w:t>7</w:t>
      </w:r>
      <w:r>
        <w:rPr>
          <w:rFonts w:hint="eastAsia" w:eastAsia="仿宋_GB2312" w:cs="宋体"/>
          <w:color w:val="0D0D0D"/>
          <w:sz w:val="28"/>
          <w:szCs w:val="28"/>
        </w:rPr>
        <w:t>）供应商须知前附表规定的构成竞争性磋商文件的其他材料。</w:t>
      </w:r>
    </w:p>
    <w:p w14:paraId="4D21EE39">
      <w:pPr>
        <w:spacing w:line="500" w:lineRule="exact"/>
        <w:ind w:firstLine="560"/>
        <w:rPr>
          <w:rFonts w:eastAsia="仿宋_GB2312"/>
          <w:color w:val="0D0D0D"/>
          <w:sz w:val="28"/>
          <w:szCs w:val="28"/>
        </w:rPr>
      </w:pPr>
      <w:r>
        <w:rPr>
          <w:rFonts w:hint="eastAsia" w:eastAsia="仿宋_GB2312"/>
          <w:color w:val="0D0D0D"/>
          <w:sz w:val="28"/>
          <w:szCs w:val="28"/>
        </w:rPr>
        <w:t>2.1.2</w:t>
      </w:r>
      <w:r>
        <w:rPr>
          <w:rFonts w:hint="eastAsia" w:eastAsia="仿宋_GB2312" w:cs="宋体"/>
          <w:color w:val="0D0D0D"/>
          <w:sz w:val="28"/>
          <w:szCs w:val="28"/>
        </w:rPr>
        <w:t>根据本章第</w:t>
      </w:r>
      <w:r>
        <w:rPr>
          <w:rFonts w:hint="eastAsia" w:eastAsia="仿宋_GB2312"/>
          <w:color w:val="0D0D0D"/>
          <w:sz w:val="28"/>
          <w:szCs w:val="28"/>
        </w:rPr>
        <w:t>2.2</w:t>
      </w:r>
      <w:r>
        <w:rPr>
          <w:rFonts w:hint="eastAsia" w:eastAsia="仿宋_GB2312" w:cs="宋体"/>
          <w:color w:val="0D0D0D"/>
          <w:sz w:val="28"/>
          <w:szCs w:val="28"/>
        </w:rPr>
        <w:t>款和第</w:t>
      </w:r>
      <w:r>
        <w:rPr>
          <w:rFonts w:hint="eastAsia" w:eastAsia="仿宋_GB2312"/>
          <w:color w:val="0D0D0D"/>
          <w:sz w:val="28"/>
          <w:szCs w:val="28"/>
        </w:rPr>
        <w:t>2.3</w:t>
      </w:r>
      <w:r>
        <w:rPr>
          <w:rFonts w:hint="eastAsia" w:eastAsia="仿宋_GB2312" w:cs="宋体"/>
          <w:color w:val="0D0D0D"/>
          <w:sz w:val="28"/>
          <w:szCs w:val="28"/>
        </w:rPr>
        <w:t>款对竞争性磋商文件所作的澄清、修改，构成竞争性磋商文件的组成部分</w:t>
      </w:r>
      <w:r>
        <w:rPr>
          <w:rFonts w:hint="eastAsia" w:eastAsia="仿宋_GB2312"/>
          <w:color w:val="0D0D0D"/>
          <w:sz w:val="28"/>
          <w:szCs w:val="28"/>
        </w:rPr>
        <w:t>。</w:t>
      </w:r>
    </w:p>
    <w:p w14:paraId="64470BAD">
      <w:pPr>
        <w:spacing w:line="500" w:lineRule="exact"/>
        <w:outlineLvl w:val="2"/>
        <w:rPr>
          <w:rFonts w:eastAsia="楷体"/>
          <w:b/>
          <w:color w:val="0D0D0D"/>
          <w:sz w:val="28"/>
          <w:szCs w:val="28"/>
        </w:rPr>
      </w:pPr>
      <w:bookmarkStart w:id="105" w:name="_Toc246996189"/>
      <w:bookmarkStart w:id="106" w:name="_Toc179632562"/>
      <w:bookmarkStart w:id="107" w:name="_Toc144974512"/>
      <w:bookmarkStart w:id="108" w:name="_Toc247085703"/>
      <w:bookmarkStart w:id="109" w:name="_Toc152045544"/>
      <w:bookmarkStart w:id="110" w:name="_Toc343525519"/>
      <w:bookmarkStart w:id="111" w:name="_Toc383438606"/>
      <w:bookmarkStart w:id="112" w:name="_Toc152042320"/>
      <w:bookmarkStart w:id="113" w:name="_Toc246996932"/>
      <w:bookmarkStart w:id="114" w:name="_Toc426469884"/>
      <w:r>
        <w:rPr>
          <w:rFonts w:eastAsia="楷体"/>
          <w:b/>
          <w:color w:val="0D0D0D"/>
          <w:sz w:val="28"/>
          <w:szCs w:val="28"/>
        </w:rPr>
        <w:t>2.2</w:t>
      </w:r>
      <w:r>
        <w:rPr>
          <w:rFonts w:hint="eastAsia" w:hAnsi="楷体" w:eastAsia="楷体" w:cs="宋体"/>
          <w:b/>
          <w:color w:val="0D0D0D"/>
          <w:sz w:val="28"/>
          <w:szCs w:val="28"/>
        </w:rPr>
        <w:t>竞争性磋商文件的澄清</w:t>
      </w:r>
      <w:bookmarkEnd w:id="105"/>
      <w:bookmarkEnd w:id="106"/>
      <w:bookmarkEnd w:id="107"/>
      <w:bookmarkEnd w:id="108"/>
      <w:bookmarkEnd w:id="109"/>
      <w:bookmarkEnd w:id="110"/>
      <w:bookmarkEnd w:id="111"/>
      <w:bookmarkEnd w:id="112"/>
      <w:bookmarkEnd w:id="113"/>
      <w:bookmarkEnd w:id="114"/>
    </w:p>
    <w:p w14:paraId="42DC440A">
      <w:pPr>
        <w:spacing w:line="500" w:lineRule="exact"/>
        <w:ind w:firstLine="560"/>
        <w:rPr>
          <w:rFonts w:eastAsia="仿宋_GB2312"/>
          <w:color w:val="0D0D0D"/>
          <w:sz w:val="28"/>
          <w:szCs w:val="28"/>
        </w:rPr>
      </w:pPr>
      <w:r>
        <w:rPr>
          <w:rFonts w:hint="eastAsia" w:eastAsia="仿宋_GB2312"/>
          <w:color w:val="0D0D0D"/>
          <w:sz w:val="28"/>
          <w:szCs w:val="28"/>
        </w:rPr>
        <w:t>供应商</w:t>
      </w:r>
      <w:r>
        <w:rPr>
          <w:rFonts w:hint="eastAsia" w:eastAsia="仿宋_GB2312" w:cs="宋体"/>
          <w:color w:val="0D0D0D"/>
          <w:sz w:val="28"/>
          <w:szCs w:val="28"/>
        </w:rPr>
        <w:t>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1AD98D9E">
      <w:pPr>
        <w:spacing w:line="500" w:lineRule="exact"/>
        <w:ind w:firstLine="560"/>
        <w:rPr>
          <w:rFonts w:eastAsia="仿宋_GB2312" w:cs="宋体"/>
          <w:color w:val="0D0D0D"/>
          <w:sz w:val="28"/>
          <w:szCs w:val="28"/>
        </w:rPr>
      </w:pPr>
      <w:r>
        <w:rPr>
          <w:rFonts w:hint="eastAsia" w:eastAsia="仿宋_GB2312" w:cs="宋体"/>
          <w:color w:val="0D0D0D"/>
          <w:sz w:val="28"/>
          <w:szCs w:val="28"/>
        </w:rPr>
        <w:t>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p>
    <w:p w14:paraId="42D41748">
      <w:pPr>
        <w:spacing w:line="500" w:lineRule="exact"/>
        <w:outlineLvl w:val="2"/>
        <w:rPr>
          <w:rFonts w:eastAsia="楷体"/>
          <w:b/>
          <w:color w:val="0D0D0D"/>
          <w:sz w:val="28"/>
          <w:szCs w:val="28"/>
        </w:rPr>
      </w:pPr>
      <w:bookmarkStart w:id="115" w:name="_Toc426469885"/>
      <w:bookmarkStart w:id="116" w:name="_Toc343525520"/>
      <w:bookmarkStart w:id="117" w:name="_Toc246996190"/>
      <w:bookmarkStart w:id="118" w:name="_Toc179632563"/>
      <w:bookmarkStart w:id="119" w:name="_Toc246996933"/>
      <w:bookmarkStart w:id="120" w:name="_Toc383438607"/>
      <w:bookmarkStart w:id="121" w:name="_Toc152045545"/>
      <w:bookmarkStart w:id="122" w:name="_Toc144974513"/>
      <w:bookmarkStart w:id="123" w:name="_Toc247085704"/>
      <w:bookmarkStart w:id="124" w:name="_Toc152042321"/>
      <w:r>
        <w:rPr>
          <w:rFonts w:eastAsia="楷体"/>
          <w:b/>
          <w:color w:val="0D0D0D"/>
          <w:sz w:val="28"/>
          <w:szCs w:val="28"/>
        </w:rPr>
        <w:t>2.3</w:t>
      </w:r>
      <w:r>
        <w:rPr>
          <w:rFonts w:hint="eastAsia" w:hAnsi="楷体" w:eastAsia="楷体" w:cs="宋体"/>
          <w:b/>
          <w:color w:val="0D0D0D"/>
          <w:sz w:val="28"/>
          <w:szCs w:val="28"/>
        </w:rPr>
        <w:t>竞争性磋商文件的修改</w:t>
      </w:r>
      <w:bookmarkEnd w:id="115"/>
      <w:bookmarkEnd w:id="116"/>
      <w:bookmarkEnd w:id="117"/>
      <w:bookmarkEnd w:id="118"/>
      <w:bookmarkEnd w:id="119"/>
      <w:bookmarkEnd w:id="120"/>
      <w:bookmarkEnd w:id="121"/>
      <w:bookmarkEnd w:id="122"/>
      <w:bookmarkEnd w:id="123"/>
      <w:bookmarkEnd w:id="124"/>
    </w:p>
    <w:p w14:paraId="1A85D96B">
      <w:pPr>
        <w:spacing w:line="500" w:lineRule="exact"/>
        <w:ind w:firstLine="560"/>
        <w:rPr>
          <w:rFonts w:eastAsia="仿宋_GB2312"/>
          <w:color w:val="0D0D0D"/>
          <w:sz w:val="28"/>
          <w:szCs w:val="28"/>
        </w:rPr>
      </w:pPr>
      <w:r>
        <w:rPr>
          <w:rFonts w:hint="eastAsia" w:eastAsia="仿宋_GB2312" w:cs="宋体"/>
          <w:color w:val="0D0D0D"/>
          <w:sz w:val="28"/>
          <w:szCs w:val="28"/>
        </w:rPr>
        <w:t>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p>
    <w:p w14:paraId="6CB1C39D">
      <w:pPr>
        <w:spacing w:line="560" w:lineRule="exact"/>
        <w:outlineLvl w:val="2"/>
        <w:rPr>
          <w:rFonts w:eastAsia="楷体" w:cs="宋体"/>
          <w:b/>
          <w:color w:val="0D0D0D"/>
          <w:sz w:val="28"/>
          <w:szCs w:val="28"/>
        </w:rPr>
      </w:pPr>
      <w:bookmarkStart w:id="125" w:name="_Toc144974514"/>
      <w:bookmarkStart w:id="126" w:name="_Toc246996934"/>
      <w:bookmarkStart w:id="127" w:name="_Toc179632564"/>
      <w:bookmarkStart w:id="128" w:name="_Toc343525522"/>
      <w:bookmarkStart w:id="129" w:name="_Toc246996191"/>
      <w:bookmarkStart w:id="130" w:name="_Toc152042322"/>
      <w:bookmarkStart w:id="131" w:name="_Toc152045546"/>
      <w:bookmarkStart w:id="132" w:name="_Toc247085705"/>
      <w:bookmarkStart w:id="133" w:name="_Toc383438609"/>
      <w:bookmarkStart w:id="134" w:name="_Toc426469887"/>
      <w:r>
        <w:rPr>
          <w:rFonts w:hint="eastAsia" w:eastAsia="楷体" w:cs="宋体"/>
          <w:b/>
          <w:color w:val="0D0D0D"/>
          <w:sz w:val="28"/>
          <w:szCs w:val="28"/>
        </w:rPr>
        <w:t>2.4</w:t>
      </w:r>
      <w:r>
        <w:rPr>
          <w:rFonts w:hint="eastAsia" w:hAnsi="楷体" w:eastAsia="楷体" w:cs="宋体"/>
          <w:b/>
          <w:color w:val="0D0D0D"/>
          <w:sz w:val="28"/>
          <w:szCs w:val="28"/>
        </w:rPr>
        <w:t>竞争性磋商文件的重新发布</w:t>
      </w:r>
    </w:p>
    <w:p w14:paraId="4984BD0D">
      <w:pPr>
        <w:spacing w:line="560" w:lineRule="exact"/>
        <w:ind w:firstLine="560"/>
        <w:rPr>
          <w:rFonts w:eastAsia="仿宋_GB2312" w:cs="宋体"/>
          <w:color w:val="0D0D0D"/>
          <w:sz w:val="28"/>
          <w:szCs w:val="28"/>
        </w:rPr>
      </w:pPr>
      <w:r>
        <w:rPr>
          <w:rFonts w:hint="eastAsia" w:eastAsia="仿宋_GB2312" w:cs="宋体"/>
          <w:color w:val="0D0D0D"/>
          <w:sz w:val="28"/>
          <w:szCs w:val="28"/>
        </w:rPr>
        <w:t>竞争性磋商文件的澄清或修改涉及到申请人的资格条件、采购标的等实质性内容时，将重新发布竞争性磋商公告。</w:t>
      </w:r>
    </w:p>
    <w:p w14:paraId="6FB78256">
      <w:pPr>
        <w:spacing w:line="500" w:lineRule="exact"/>
        <w:outlineLvl w:val="1"/>
        <w:rPr>
          <w:rFonts w:eastAsia="黑体"/>
          <w:b/>
          <w:color w:val="0D0D0D"/>
          <w:sz w:val="32"/>
          <w:szCs w:val="32"/>
        </w:rPr>
      </w:pPr>
      <w:r>
        <w:rPr>
          <w:rFonts w:eastAsia="黑体"/>
          <w:b/>
          <w:color w:val="0D0D0D"/>
          <w:sz w:val="32"/>
          <w:szCs w:val="32"/>
        </w:rPr>
        <w:t>3.</w:t>
      </w:r>
      <w:bookmarkEnd w:id="125"/>
      <w:bookmarkEnd w:id="126"/>
      <w:bookmarkEnd w:id="127"/>
      <w:bookmarkEnd w:id="128"/>
      <w:bookmarkEnd w:id="129"/>
      <w:bookmarkEnd w:id="130"/>
      <w:bookmarkEnd w:id="131"/>
      <w:bookmarkEnd w:id="132"/>
      <w:bookmarkEnd w:id="133"/>
      <w:r>
        <w:rPr>
          <w:rFonts w:hint="eastAsia" w:hAnsi="黑体" w:eastAsia="黑体" w:cs="宋体"/>
          <w:b/>
          <w:color w:val="0D0D0D"/>
          <w:sz w:val="32"/>
          <w:szCs w:val="32"/>
        </w:rPr>
        <w:t>响应文件</w:t>
      </w:r>
      <w:bookmarkEnd w:id="134"/>
    </w:p>
    <w:p w14:paraId="2B8ED71C">
      <w:pPr>
        <w:spacing w:line="500" w:lineRule="exact"/>
        <w:outlineLvl w:val="2"/>
        <w:rPr>
          <w:rFonts w:eastAsia="楷体"/>
          <w:b/>
          <w:color w:val="0D0D0D"/>
          <w:sz w:val="28"/>
          <w:szCs w:val="28"/>
        </w:rPr>
      </w:pPr>
      <w:bookmarkStart w:id="135" w:name="_Toc247085706"/>
      <w:bookmarkStart w:id="136" w:name="_Toc343525523"/>
      <w:bookmarkStart w:id="137" w:name="_Toc383438610"/>
      <w:bookmarkStart w:id="138" w:name="_Toc246996192"/>
      <w:bookmarkStart w:id="139" w:name="_Toc179632565"/>
      <w:bookmarkStart w:id="140" w:name="_Toc152042323"/>
      <w:bookmarkStart w:id="141" w:name="_Toc246996935"/>
      <w:bookmarkStart w:id="142" w:name="_Toc144974515"/>
      <w:bookmarkStart w:id="143" w:name="_Toc152045547"/>
      <w:bookmarkStart w:id="144" w:name="_Toc426469888"/>
      <w:r>
        <w:rPr>
          <w:rFonts w:eastAsia="楷体"/>
          <w:b/>
          <w:color w:val="0D0D0D"/>
          <w:sz w:val="28"/>
          <w:szCs w:val="28"/>
        </w:rPr>
        <w:t>3.1</w:t>
      </w:r>
      <w:bookmarkEnd w:id="135"/>
      <w:bookmarkEnd w:id="136"/>
      <w:bookmarkEnd w:id="137"/>
      <w:bookmarkEnd w:id="138"/>
      <w:bookmarkEnd w:id="139"/>
      <w:bookmarkEnd w:id="140"/>
      <w:bookmarkEnd w:id="141"/>
      <w:bookmarkEnd w:id="142"/>
      <w:bookmarkEnd w:id="143"/>
      <w:r>
        <w:rPr>
          <w:rFonts w:hint="eastAsia" w:hAnsi="楷体" w:eastAsia="楷体" w:cs="宋体"/>
          <w:b/>
          <w:color w:val="0D0D0D"/>
          <w:sz w:val="28"/>
          <w:szCs w:val="28"/>
        </w:rPr>
        <w:t>响应文件的</w:t>
      </w:r>
      <w:bookmarkEnd w:id="144"/>
      <w:r>
        <w:rPr>
          <w:rFonts w:hint="eastAsia" w:hAnsi="楷体" w:eastAsia="楷体" w:cs="宋体"/>
          <w:b/>
          <w:color w:val="0D0D0D"/>
          <w:sz w:val="28"/>
          <w:szCs w:val="28"/>
        </w:rPr>
        <w:t>组成</w:t>
      </w:r>
    </w:p>
    <w:p w14:paraId="60981750">
      <w:pPr>
        <w:spacing w:line="500" w:lineRule="exact"/>
        <w:ind w:firstLine="560"/>
        <w:rPr>
          <w:rFonts w:eastAsia="仿宋_GB2312" w:cs="宋体"/>
          <w:color w:val="0D0D0D"/>
          <w:sz w:val="28"/>
          <w:szCs w:val="28"/>
        </w:rPr>
      </w:pPr>
      <w:bookmarkStart w:id="145" w:name="_Toc367785004"/>
      <w:bookmarkStart w:id="146" w:name="_Toc426469889"/>
      <w:r>
        <w:rPr>
          <w:rFonts w:hint="eastAsia" w:eastAsia="仿宋_GB2312" w:cs="宋体"/>
          <w:color w:val="0D0D0D"/>
          <w:sz w:val="28"/>
          <w:szCs w:val="28"/>
        </w:rPr>
        <w:t>响应文件的组成：见供应商须知前附表。</w:t>
      </w:r>
    </w:p>
    <w:p w14:paraId="037588B8">
      <w:pPr>
        <w:spacing w:line="500" w:lineRule="exact"/>
        <w:outlineLvl w:val="2"/>
        <w:rPr>
          <w:rFonts w:eastAsia="楷体"/>
          <w:b/>
          <w:color w:val="0D0D0D"/>
          <w:sz w:val="28"/>
          <w:szCs w:val="28"/>
        </w:rPr>
      </w:pPr>
      <w:r>
        <w:rPr>
          <w:rFonts w:eastAsia="楷体"/>
          <w:b/>
          <w:color w:val="0D0D0D"/>
          <w:sz w:val="28"/>
          <w:szCs w:val="28"/>
        </w:rPr>
        <w:t>3.2</w:t>
      </w:r>
      <w:bookmarkEnd w:id="145"/>
      <w:r>
        <w:rPr>
          <w:rFonts w:hint="eastAsia" w:hAnsi="楷体" w:eastAsia="楷体" w:cs="宋体"/>
          <w:b/>
          <w:color w:val="0D0D0D"/>
          <w:sz w:val="28"/>
          <w:szCs w:val="28"/>
        </w:rPr>
        <w:t>报价</w:t>
      </w:r>
      <w:bookmarkEnd w:id="146"/>
    </w:p>
    <w:p w14:paraId="63D112E8">
      <w:pPr>
        <w:spacing w:line="500" w:lineRule="exact"/>
        <w:ind w:firstLine="560"/>
        <w:rPr>
          <w:rFonts w:eastAsia="仿宋_GB2312"/>
          <w:color w:val="0D0D0D"/>
          <w:sz w:val="28"/>
          <w:szCs w:val="28"/>
        </w:rPr>
      </w:pPr>
      <w:r>
        <w:rPr>
          <w:rFonts w:hint="eastAsia" w:eastAsia="仿宋_GB2312"/>
          <w:color w:val="0D0D0D"/>
          <w:sz w:val="28"/>
          <w:szCs w:val="28"/>
        </w:rPr>
        <w:t>3.2.1</w:t>
      </w:r>
      <w:r>
        <w:rPr>
          <w:rFonts w:hint="eastAsia" w:eastAsia="仿宋_GB2312" w:cs="宋体"/>
          <w:color w:val="0D0D0D"/>
          <w:sz w:val="28"/>
          <w:szCs w:val="28"/>
        </w:rPr>
        <w:t>供应商应按竞争性磋商小组经过谈判后提供的竞争性磋商文件中规定的供货及服务要求、责任范围和合同条件，以人民币进行报价。</w:t>
      </w:r>
    </w:p>
    <w:p w14:paraId="35DFA21B">
      <w:pPr>
        <w:spacing w:line="500" w:lineRule="exact"/>
        <w:ind w:firstLine="560"/>
        <w:rPr>
          <w:rFonts w:eastAsia="仿宋_GB2312" w:cs="宋体"/>
          <w:color w:val="0D0D0D"/>
          <w:sz w:val="28"/>
          <w:szCs w:val="28"/>
        </w:rPr>
      </w:pPr>
      <w:r>
        <w:rPr>
          <w:rFonts w:hint="eastAsia" w:eastAsia="仿宋_GB2312"/>
          <w:color w:val="0D0D0D"/>
          <w:sz w:val="28"/>
          <w:szCs w:val="28"/>
        </w:rPr>
        <w:t>3.2.2</w:t>
      </w:r>
      <w:r>
        <w:rPr>
          <w:rFonts w:hint="eastAsia" w:eastAsia="仿宋_GB2312" w:cs="宋体"/>
          <w:color w:val="0D0D0D"/>
          <w:sz w:val="28"/>
          <w:szCs w:val="28"/>
        </w:rPr>
        <w:t>供应商须按竞争性磋商小组的要求在规定的时间内提交最后报价。</w:t>
      </w:r>
    </w:p>
    <w:p w14:paraId="4BDE7411">
      <w:pPr>
        <w:spacing w:line="500" w:lineRule="exact"/>
        <w:ind w:firstLine="560"/>
        <w:rPr>
          <w:rFonts w:eastAsia="仿宋_GB2312" w:cs="宋体"/>
          <w:color w:val="0D0D0D"/>
          <w:sz w:val="28"/>
          <w:szCs w:val="28"/>
        </w:rPr>
      </w:pPr>
      <w:r>
        <w:rPr>
          <w:rFonts w:hint="eastAsia" w:eastAsia="仿宋_GB2312" w:cs="宋体"/>
          <w:color w:val="0D0D0D"/>
          <w:sz w:val="28"/>
          <w:szCs w:val="28"/>
        </w:rPr>
        <w:t>3.2.3报价的其他要求：见供应商须知前附表。</w:t>
      </w:r>
    </w:p>
    <w:p w14:paraId="4E7313F4">
      <w:pPr>
        <w:spacing w:line="500" w:lineRule="exact"/>
        <w:outlineLvl w:val="2"/>
        <w:rPr>
          <w:rFonts w:eastAsia="楷体"/>
          <w:b/>
          <w:color w:val="0D0D0D"/>
          <w:sz w:val="28"/>
          <w:szCs w:val="28"/>
        </w:rPr>
      </w:pPr>
      <w:bookmarkStart w:id="147" w:name="_Toc426469892"/>
      <w:r>
        <w:rPr>
          <w:rFonts w:eastAsia="楷体"/>
          <w:b/>
          <w:color w:val="0D0D0D"/>
          <w:sz w:val="28"/>
          <w:szCs w:val="28"/>
        </w:rPr>
        <w:t>3.</w:t>
      </w:r>
      <w:r>
        <w:rPr>
          <w:rFonts w:hint="eastAsia" w:eastAsia="楷体"/>
          <w:b/>
          <w:color w:val="0D0D0D"/>
          <w:sz w:val="28"/>
          <w:szCs w:val="28"/>
        </w:rPr>
        <w:t>3</w:t>
      </w:r>
      <w:r>
        <w:rPr>
          <w:rFonts w:hint="eastAsia" w:hAnsi="楷体" w:eastAsia="楷体" w:cs="宋体"/>
          <w:b/>
          <w:color w:val="0D0D0D"/>
          <w:sz w:val="28"/>
          <w:szCs w:val="28"/>
        </w:rPr>
        <w:t>响应文件的编制</w:t>
      </w:r>
      <w:bookmarkEnd w:id="147"/>
    </w:p>
    <w:p w14:paraId="4EE89A99">
      <w:pPr>
        <w:spacing w:line="500" w:lineRule="exact"/>
        <w:ind w:firstLine="560"/>
        <w:rPr>
          <w:rFonts w:eastAsia="仿宋_GB2312"/>
          <w:color w:val="0D0D0D"/>
          <w:sz w:val="28"/>
          <w:szCs w:val="28"/>
        </w:rPr>
      </w:pPr>
      <w:r>
        <w:rPr>
          <w:rFonts w:hint="eastAsia" w:eastAsia="仿宋_GB2312"/>
          <w:color w:val="0D0D0D"/>
          <w:sz w:val="28"/>
          <w:szCs w:val="28"/>
        </w:rPr>
        <w:t>3.3.1供应商可以按照第六章“响应文件的编制要求及参考格式”要求编制响应文件。需另行增加的相关内容和材料应编入响应文件相应章节，作为响应文件的组成部分。</w:t>
      </w:r>
    </w:p>
    <w:p w14:paraId="7B090FBB">
      <w:pPr>
        <w:spacing w:line="500" w:lineRule="exact"/>
        <w:ind w:firstLine="560"/>
        <w:rPr>
          <w:rFonts w:eastAsia="仿宋_GB2312" w:cs="宋体"/>
          <w:color w:val="0D0D0D"/>
          <w:sz w:val="28"/>
          <w:szCs w:val="28"/>
        </w:rPr>
      </w:pPr>
      <w:r>
        <w:rPr>
          <w:rFonts w:hint="eastAsia" w:eastAsia="仿宋_GB2312"/>
          <w:color w:val="0D0D0D"/>
          <w:sz w:val="28"/>
          <w:szCs w:val="28"/>
        </w:rPr>
        <w:t>3.3.2供应商应对竞争性磋商文件中的资格要求、合同履行期限、技术、服务标准和要求等内容作出响应，并根据评审因素提供相应的证明材料</w:t>
      </w:r>
      <w:r>
        <w:rPr>
          <w:rFonts w:hint="eastAsia" w:eastAsia="仿宋_GB2312" w:cs="宋体"/>
          <w:color w:val="0D0D0D"/>
          <w:sz w:val="28"/>
          <w:szCs w:val="28"/>
        </w:rPr>
        <w:t>。</w:t>
      </w:r>
    </w:p>
    <w:p w14:paraId="3DA0B4A8">
      <w:pPr>
        <w:spacing w:line="500" w:lineRule="exact"/>
        <w:ind w:firstLine="560"/>
        <w:rPr>
          <w:rFonts w:eastAsia="仿宋_GB2312"/>
          <w:color w:val="0D0D0D"/>
          <w:sz w:val="28"/>
          <w:szCs w:val="28"/>
        </w:rPr>
      </w:pPr>
      <w:bookmarkStart w:id="148" w:name="_Toc426469893"/>
      <w:bookmarkStart w:id="149" w:name="_Toc367785014"/>
      <w:r>
        <w:rPr>
          <w:rFonts w:hint="eastAsia" w:eastAsia="仿宋_GB2312"/>
          <w:color w:val="0D0D0D"/>
          <w:sz w:val="28"/>
          <w:szCs w:val="28"/>
        </w:rPr>
        <w:t>3.3.3响应文件的数量：见供应商须知前附表。</w:t>
      </w:r>
    </w:p>
    <w:p w14:paraId="1C65F230">
      <w:pPr>
        <w:spacing w:line="500" w:lineRule="exact"/>
        <w:ind w:firstLine="560"/>
        <w:rPr>
          <w:rFonts w:eastAsia="仿宋_GB2312"/>
          <w:color w:val="0D0D0D"/>
          <w:sz w:val="28"/>
          <w:szCs w:val="28"/>
        </w:rPr>
      </w:pPr>
      <w:r>
        <w:rPr>
          <w:rFonts w:hint="eastAsia" w:eastAsia="仿宋_GB2312"/>
          <w:color w:val="0D0D0D"/>
          <w:sz w:val="28"/>
          <w:szCs w:val="28"/>
        </w:rPr>
        <w:t>3.3.4响应文件的签署：见供应商须知前附表。</w:t>
      </w:r>
    </w:p>
    <w:p w14:paraId="00F7B967">
      <w:pPr>
        <w:spacing w:line="560" w:lineRule="exact"/>
        <w:outlineLvl w:val="2"/>
        <w:rPr>
          <w:rFonts w:eastAsia="楷体" w:cs="宋体"/>
          <w:b/>
          <w:color w:val="0D0D0D"/>
          <w:sz w:val="28"/>
          <w:szCs w:val="28"/>
        </w:rPr>
      </w:pPr>
      <w:r>
        <w:rPr>
          <w:rFonts w:hint="eastAsia" w:eastAsia="楷体" w:cs="宋体"/>
          <w:b/>
          <w:color w:val="0D0D0D"/>
          <w:sz w:val="28"/>
          <w:szCs w:val="28"/>
        </w:rPr>
        <w:t>3.4</w:t>
      </w:r>
      <w:r>
        <w:rPr>
          <w:rFonts w:hint="eastAsia" w:hAnsi="楷体" w:eastAsia="楷体" w:cs="宋体"/>
          <w:b/>
          <w:color w:val="0D0D0D"/>
          <w:sz w:val="28"/>
          <w:szCs w:val="28"/>
        </w:rPr>
        <w:t>响应文件的递交</w:t>
      </w:r>
    </w:p>
    <w:p w14:paraId="3C499D78">
      <w:pPr>
        <w:spacing w:line="500" w:lineRule="exact"/>
        <w:ind w:firstLine="560"/>
        <w:rPr>
          <w:rFonts w:eastAsia="仿宋_GB2312"/>
          <w:color w:val="0D0D0D"/>
          <w:sz w:val="28"/>
          <w:szCs w:val="28"/>
        </w:rPr>
      </w:pPr>
      <w:r>
        <w:rPr>
          <w:rFonts w:hint="eastAsia" w:eastAsia="仿宋_GB2312"/>
          <w:color w:val="0D0D0D"/>
          <w:sz w:val="28"/>
          <w:szCs w:val="28"/>
        </w:rPr>
        <w:t>供应商应充分考虑网络及系统平台可能存在的非正常情况等各种风险因素，在规定的提交首次响应文件截止时间前，通过江苏省政府采购管理交易系统（苏采云），完成响应文件的上传。</w:t>
      </w:r>
    </w:p>
    <w:bookmarkEnd w:id="30"/>
    <w:bookmarkEnd w:id="148"/>
    <w:bookmarkEnd w:id="149"/>
    <w:p w14:paraId="5D37D798">
      <w:pPr>
        <w:spacing w:line="500" w:lineRule="exact"/>
        <w:outlineLvl w:val="2"/>
        <w:rPr>
          <w:rFonts w:eastAsia="楷体"/>
          <w:b/>
          <w:color w:val="0D0D0D"/>
          <w:sz w:val="28"/>
          <w:szCs w:val="28"/>
        </w:rPr>
      </w:pPr>
      <w:r>
        <w:rPr>
          <w:rFonts w:hint="eastAsia" w:eastAsia="楷体"/>
          <w:b/>
          <w:color w:val="0D0D0D"/>
          <w:sz w:val="28"/>
          <w:szCs w:val="28"/>
        </w:rPr>
        <w:t>3.5</w:t>
      </w:r>
      <w:r>
        <w:rPr>
          <w:rFonts w:hint="eastAsia" w:hAnsi="楷体" w:eastAsia="楷体"/>
          <w:b/>
          <w:color w:val="0D0D0D"/>
          <w:sz w:val="28"/>
          <w:szCs w:val="28"/>
        </w:rPr>
        <w:t>响应文件的修改与撤回</w:t>
      </w:r>
    </w:p>
    <w:p w14:paraId="19AD5E00">
      <w:pPr>
        <w:spacing w:line="500" w:lineRule="exact"/>
        <w:ind w:firstLine="560"/>
        <w:rPr>
          <w:rFonts w:eastAsia="仿宋_GB2312"/>
          <w:color w:val="0D0D0D"/>
          <w:sz w:val="28"/>
          <w:szCs w:val="28"/>
        </w:rPr>
      </w:pPr>
      <w:r>
        <w:rPr>
          <w:rFonts w:hint="eastAsia" w:eastAsia="仿宋_GB2312"/>
          <w:color w:val="0D0D0D"/>
          <w:sz w:val="28"/>
          <w:szCs w:val="28"/>
        </w:rPr>
        <w:t>在提交首次响应文件截止时间前，供应商可以修改或撤回已递交的响应文件。修改的响应文件应按照本竞争性磋商文件规定进行编制和重新提交。</w:t>
      </w:r>
    </w:p>
    <w:p w14:paraId="7528FF66">
      <w:pPr>
        <w:spacing w:line="500" w:lineRule="exact"/>
        <w:outlineLvl w:val="2"/>
        <w:rPr>
          <w:rFonts w:eastAsia="楷体"/>
          <w:b/>
          <w:color w:val="0D0D0D"/>
          <w:sz w:val="28"/>
          <w:szCs w:val="28"/>
        </w:rPr>
      </w:pPr>
      <w:r>
        <w:rPr>
          <w:rFonts w:hint="eastAsia" w:eastAsia="楷体"/>
          <w:b/>
          <w:color w:val="0D0D0D"/>
          <w:sz w:val="28"/>
          <w:szCs w:val="28"/>
        </w:rPr>
        <w:t>3.6</w:t>
      </w:r>
      <w:r>
        <w:rPr>
          <w:rFonts w:hint="eastAsia" w:hAnsi="楷体" w:eastAsia="楷体"/>
          <w:b/>
          <w:color w:val="0D0D0D"/>
          <w:sz w:val="28"/>
          <w:szCs w:val="28"/>
        </w:rPr>
        <w:t>响应文件的确认</w:t>
      </w:r>
    </w:p>
    <w:p w14:paraId="67ECF8E3">
      <w:pPr>
        <w:spacing w:line="500" w:lineRule="exact"/>
        <w:ind w:firstLine="560"/>
        <w:rPr>
          <w:rFonts w:eastAsia="仿宋_GB2312"/>
          <w:color w:val="0D0D0D"/>
          <w:sz w:val="28"/>
          <w:szCs w:val="28"/>
        </w:rPr>
      </w:pPr>
      <w:r>
        <w:rPr>
          <w:rFonts w:hint="eastAsia" w:eastAsia="仿宋_GB2312"/>
          <w:color w:val="0D0D0D"/>
          <w:sz w:val="28"/>
          <w:szCs w:val="28"/>
        </w:rPr>
        <w:t>供应商可以通过江苏省政府采购管理交易系统（苏采云）多次上传响应文件，以规定的提交首次响应文件截止时间前，江苏省政府采购管理交易系统（苏采云）接受到的最后一份响应文件为准。</w:t>
      </w:r>
    </w:p>
    <w:p w14:paraId="3E4E5F49">
      <w:pPr>
        <w:spacing w:line="500" w:lineRule="exact"/>
        <w:outlineLvl w:val="2"/>
        <w:rPr>
          <w:rFonts w:eastAsia="楷体"/>
          <w:b/>
          <w:color w:val="0D0D0D"/>
          <w:sz w:val="28"/>
          <w:szCs w:val="28"/>
        </w:rPr>
      </w:pPr>
      <w:r>
        <w:rPr>
          <w:rFonts w:hint="eastAsia" w:eastAsia="楷体"/>
          <w:b/>
          <w:color w:val="0D0D0D"/>
          <w:sz w:val="28"/>
          <w:szCs w:val="28"/>
        </w:rPr>
        <w:t>3.7</w:t>
      </w:r>
      <w:r>
        <w:rPr>
          <w:rFonts w:hint="eastAsia" w:hAnsi="楷体" w:eastAsia="楷体"/>
          <w:b/>
          <w:color w:val="0D0D0D"/>
          <w:sz w:val="28"/>
          <w:szCs w:val="28"/>
        </w:rPr>
        <w:t>响应文件的拒收</w:t>
      </w:r>
    </w:p>
    <w:p w14:paraId="27EC8423">
      <w:pPr>
        <w:spacing w:line="500" w:lineRule="exact"/>
        <w:ind w:firstLine="560"/>
        <w:rPr>
          <w:rFonts w:eastAsia="仿宋_GB2312"/>
          <w:color w:val="0D0D0D"/>
          <w:sz w:val="28"/>
          <w:szCs w:val="28"/>
        </w:rPr>
      </w:pPr>
      <w:r>
        <w:rPr>
          <w:rFonts w:hint="eastAsia" w:eastAsia="仿宋_GB2312"/>
          <w:color w:val="0D0D0D"/>
          <w:sz w:val="28"/>
          <w:szCs w:val="28"/>
        </w:rPr>
        <w:t>在规定的提交首次响应文件截止时间后，江苏省政府采购管理交易系统（苏采云）将不再接受响应文件的上传。</w:t>
      </w:r>
    </w:p>
    <w:p w14:paraId="34FFA9B8">
      <w:pPr>
        <w:spacing w:line="500" w:lineRule="exact"/>
        <w:outlineLvl w:val="1"/>
        <w:rPr>
          <w:rFonts w:eastAsia="黑体" w:cs="宋体"/>
          <w:b/>
          <w:color w:val="0D0D0D"/>
          <w:sz w:val="32"/>
          <w:szCs w:val="32"/>
        </w:rPr>
      </w:pPr>
      <w:r>
        <w:rPr>
          <w:rFonts w:eastAsia="黑体" w:cs="宋体"/>
          <w:b/>
          <w:color w:val="0D0D0D"/>
          <w:sz w:val="32"/>
          <w:szCs w:val="32"/>
        </w:rPr>
        <w:t>4.</w:t>
      </w:r>
      <w:r>
        <w:rPr>
          <w:rFonts w:hint="eastAsia" w:hAnsi="黑体" w:eastAsia="黑体" w:cs="宋体"/>
          <w:b/>
          <w:color w:val="0D0D0D"/>
          <w:sz w:val="32"/>
          <w:szCs w:val="32"/>
        </w:rPr>
        <w:t>响应文件的开启</w:t>
      </w:r>
    </w:p>
    <w:p w14:paraId="79C4AD9D">
      <w:pPr>
        <w:spacing w:line="500" w:lineRule="exact"/>
        <w:outlineLvl w:val="2"/>
        <w:rPr>
          <w:rFonts w:eastAsia="楷体"/>
          <w:b/>
          <w:color w:val="0D0D0D"/>
          <w:sz w:val="28"/>
          <w:szCs w:val="28"/>
        </w:rPr>
      </w:pPr>
      <w:r>
        <w:rPr>
          <w:rFonts w:hint="eastAsia" w:eastAsia="楷体"/>
          <w:b/>
          <w:color w:val="0D0D0D"/>
          <w:sz w:val="28"/>
          <w:szCs w:val="28"/>
        </w:rPr>
        <w:t>4.1</w:t>
      </w:r>
      <w:r>
        <w:rPr>
          <w:rFonts w:hint="eastAsia" w:hAnsi="楷体" w:eastAsia="楷体"/>
          <w:b/>
          <w:color w:val="0D0D0D"/>
          <w:sz w:val="28"/>
          <w:szCs w:val="28"/>
        </w:rPr>
        <w:t>响应文件的开启</w:t>
      </w:r>
    </w:p>
    <w:p w14:paraId="29EE902F">
      <w:pPr>
        <w:spacing w:line="500" w:lineRule="exact"/>
        <w:ind w:firstLine="560"/>
        <w:rPr>
          <w:rFonts w:eastAsia="仿宋_GB2312"/>
          <w:color w:val="0D0D0D"/>
          <w:sz w:val="28"/>
          <w:szCs w:val="28"/>
        </w:rPr>
      </w:pPr>
      <w:r>
        <w:rPr>
          <w:rFonts w:hint="eastAsia" w:eastAsia="仿宋_GB2312"/>
          <w:color w:val="0D0D0D"/>
          <w:sz w:val="28"/>
          <w:szCs w:val="28"/>
        </w:rPr>
        <w:t>响应文件的开启将在“苏采云”系统“开标大厅”内公开进行，供应商应当按照《江苏省政府采购管理交易系统（苏采云）供应商操作手册》规定参加，并在规定的时间内解密响应文件。</w:t>
      </w:r>
    </w:p>
    <w:p w14:paraId="26E114EE">
      <w:pPr>
        <w:spacing w:line="500" w:lineRule="exact"/>
        <w:outlineLvl w:val="2"/>
        <w:rPr>
          <w:rFonts w:eastAsia="楷体"/>
          <w:b/>
          <w:color w:val="0D0D0D"/>
          <w:sz w:val="28"/>
          <w:szCs w:val="28"/>
        </w:rPr>
      </w:pPr>
      <w:r>
        <w:rPr>
          <w:rFonts w:hint="eastAsia" w:eastAsia="楷体"/>
          <w:b/>
          <w:color w:val="0D0D0D"/>
          <w:sz w:val="28"/>
          <w:szCs w:val="28"/>
        </w:rPr>
        <w:t>4.2</w:t>
      </w:r>
      <w:r>
        <w:rPr>
          <w:rFonts w:hint="eastAsia" w:hAnsi="楷体" w:eastAsia="楷体"/>
          <w:b/>
          <w:color w:val="0D0D0D"/>
          <w:sz w:val="28"/>
          <w:szCs w:val="28"/>
        </w:rPr>
        <w:t>特殊情况的处置</w:t>
      </w:r>
    </w:p>
    <w:p w14:paraId="75354887">
      <w:pPr>
        <w:spacing w:line="500" w:lineRule="exact"/>
        <w:ind w:firstLine="560"/>
        <w:rPr>
          <w:rFonts w:eastAsia="仿宋_GB2312"/>
          <w:color w:val="0D0D0D"/>
          <w:sz w:val="28"/>
          <w:szCs w:val="28"/>
        </w:rPr>
      </w:pPr>
      <w:r>
        <w:rPr>
          <w:rFonts w:hint="eastAsia" w:eastAsia="仿宋_GB2312"/>
          <w:color w:val="0D0D0D"/>
          <w:sz w:val="28"/>
          <w:szCs w:val="28"/>
        </w:rPr>
        <w:t>4.2.1在提交响应文件截止时间后，不见面开标系统出现下列情况之一时，响应文件未开启的，暂停开启活动；正在开启的，立即暂停，待系统恢复正常后再组织。</w:t>
      </w:r>
    </w:p>
    <w:p w14:paraId="7A5AAA68">
      <w:pPr>
        <w:spacing w:line="500" w:lineRule="exact"/>
        <w:ind w:firstLine="560"/>
        <w:rPr>
          <w:rFonts w:eastAsia="仿宋_GB2312"/>
          <w:color w:val="0D0D0D"/>
          <w:sz w:val="28"/>
          <w:szCs w:val="28"/>
        </w:rPr>
      </w:pPr>
      <w:r>
        <w:rPr>
          <w:rFonts w:hint="eastAsia" w:eastAsia="仿宋_GB2312"/>
          <w:color w:val="0D0D0D"/>
          <w:sz w:val="28"/>
          <w:szCs w:val="28"/>
        </w:rPr>
        <w:t>（1）系统服务器发生故障，无法访问或无法使用系统；</w:t>
      </w:r>
    </w:p>
    <w:p w14:paraId="7D5A007A">
      <w:pPr>
        <w:spacing w:line="500" w:lineRule="exact"/>
        <w:ind w:firstLine="560"/>
        <w:rPr>
          <w:rFonts w:eastAsia="仿宋_GB2312"/>
          <w:color w:val="0D0D0D"/>
          <w:sz w:val="28"/>
          <w:szCs w:val="28"/>
        </w:rPr>
      </w:pPr>
      <w:r>
        <w:rPr>
          <w:rFonts w:hint="eastAsia" w:eastAsia="仿宋_GB2312"/>
          <w:color w:val="0D0D0D"/>
          <w:sz w:val="28"/>
          <w:szCs w:val="28"/>
        </w:rPr>
        <w:t>（2）系统的软件或数据库出现错误，不能进行正常操作；</w:t>
      </w:r>
    </w:p>
    <w:p w14:paraId="5504465E">
      <w:pPr>
        <w:spacing w:line="500" w:lineRule="exact"/>
        <w:ind w:firstLine="560"/>
        <w:rPr>
          <w:rFonts w:eastAsia="仿宋_GB2312"/>
          <w:color w:val="0D0D0D"/>
          <w:sz w:val="28"/>
          <w:szCs w:val="28"/>
        </w:rPr>
      </w:pPr>
      <w:r>
        <w:rPr>
          <w:rFonts w:hint="eastAsia" w:eastAsia="仿宋_GB2312"/>
          <w:color w:val="0D0D0D"/>
          <w:sz w:val="28"/>
          <w:szCs w:val="28"/>
        </w:rPr>
        <w:t>（3）系统发现有安全漏洞，有潜在的泄密危险；</w:t>
      </w:r>
    </w:p>
    <w:p w14:paraId="5680B748">
      <w:pPr>
        <w:spacing w:line="500" w:lineRule="exact"/>
        <w:ind w:firstLine="560"/>
        <w:rPr>
          <w:rFonts w:eastAsia="仿宋_GB2312"/>
          <w:color w:val="0D0D0D"/>
          <w:sz w:val="28"/>
          <w:szCs w:val="28"/>
        </w:rPr>
      </w:pPr>
      <w:r>
        <w:rPr>
          <w:rFonts w:hint="eastAsia" w:eastAsia="仿宋_GB2312"/>
          <w:color w:val="0D0D0D"/>
          <w:sz w:val="28"/>
          <w:szCs w:val="28"/>
        </w:rPr>
        <w:t>（4）其他无法保证信息安全的情形。</w:t>
      </w:r>
    </w:p>
    <w:p w14:paraId="37031690">
      <w:pPr>
        <w:spacing w:line="500" w:lineRule="exact"/>
        <w:ind w:firstLine="560"/>
        <w:rPr>
          <w:rFonts w:eastAsia="仿宋_GB2312"/>
          <w:color w:val="0D0D0D"/>
          <w:sz w:val="28"/>
          <w:szCs w:val="28"/>
        </w:rPr>
      </w:pPr>
      <w:r>
        <w:rPr>
          <w:rFonts w:hint="eastAsia" w:eastAsia="仿宋_GB2312"/>
          <w:color w:val="0D0D0D"/>
          <w:sz w:val="28"/>
          <w:szCs w:val="28"/>
        </w:rPr>
        <w:t>4.2.2因供应商自身原因造成响应文件无法解密的，视为撤销响应文件。</w:t>
      </w:r>
    </w:p>
    <w:p w14:paraId="70687C6D">
      <w:pPr>
        <w:spacing w:line="500" w:lineRule="exact"/>
        <w:ind w:firstLine="560"/>
        <w:rPr>
          <w:rFonts w:eastAsia="仿宋_GB2312"/>
          <w:color w:val="0D0D0D"/>
          <w:sz w:val="28"/>
          <w:szCs w:val="28"/>
        </w:rPr>
      </w:pPr>
      <w:r>
        <w:rPr>
          <w:rFonts w:hint="eastAsia" w:eastAsia="仿宋_GB2312"/>
          <w:color w:val="0D0D0D"/>
          <w:sz w:val="28"/>
          <w:szCs w:val="28"/>
        </w:rPr>
        <w:t>4.2.3供应商对响应文件开启活动或开启结果等有疑义的，可向采购人提出。</w:t>
      </w:r>
    </w:p>
    <w:p w14:paraId="4F392919">
      <w:pPr>
        <w:spacing w:line="500" w:lineRule="exact"/>
        <w:ind w:firstLine="560"/>
        <w:outlineLvl w:val="3"/>
        <w:rPr>
          <w:rFonts w:eastAsia="仿宋_GB2312" w:cs="宋体"/>
          <w:color w:val="0D0D0D"/>
          <w:sz w:val="28"/>
          <w:szCs w:val="28"/>
        </w:rPr>
      </w:pPr>
      <w:r>
        <w:rPr>
          <w:rFonts w:hint="eastAsia" w:eastAsia="仿宋_GB2312"/>
          <w:color w:val="0D0D0D"/>
          <w:sz w:val="28"/>
          <w:szCs w:val="28"/>
        </w:rPr>
        <w:t>4.2.4供应商未在系统中确认开启结果的，视同认可开启结果。</w:t>
      </w:r>
    </w:p>
    <w:p w14:paraId="48B8621F">
      <w:pPr>
        <w:spacing w:line="500" w:lineRule="exact"/>
        <w:outlineLvl w:val="1"/>
        <w:rPr>
          <w:rFonts w:eastAsia="黑体"/>
          <w:color w:val="0D0D0D"/>
          <w:sz w:val="32"/>
          <w:szCs w:val="32"/>
        </w:rPr>
      </w:pPr>
      <w:r>
        <w:rPr>
          <w:rFonts w:eastAsia="黑体"/>
          <w:b/>
          <w:bCs/>
          <w:color w:val="0D0D0D"/>
          <w:sz w:val="32"/>
          <w:szCs w:val="32"/>
        </w:rPr>
        <w:t>5.</w:t>
      </w:r>
      <w:r>
        <w:rPr>
          <w:rFonts w:hint="eastAsia" w:hAnsi="黑体" w:eastAsia="黑体"/>
          <w:b/>
          <w:color w:val="0D0D0D"/>
          <w:sz w:val="32"/>
          <w:szCs w:val="32"/>
        </w:rPr>
        <w:t>响应文件的评审</w:t>
      </w:r>
    </w:p>
    <w:p w14:paraId="7B277DEF">
      <w:pPr>
        <w:spacing w:line="500" w:lineRule="exact"/>
        <w:outlineLvl w:val="2"/>
        <w:rPr>
          <w:rFonts w:eastAsia="楷体"/>
          <w:b/>
          <w:color w:val="0D0D0D"/>
          <w:sz w:val="28"/>
          <w:szCs w:val="28"/>
        </w:rPr>
      </w:pPr>
      <w:r>
        <w:rPr>
          <w:rFonts w:hint="eastAsia" w:eastAsia="楷体"/>
          <w:b/>
          <w:color w:val="0D0D0D"/>
          <w:sz w:val="28"/>
          <w:szCs w:val="28"/>
        </w:rPr>
        <w:t>5.1</w:t>
      </w:r>
      <w:r>
        <w:rPr>
          <w:rFonts w:hint="eastAsia" w:hAnsi="楷体" w:eastAsia="楷体"/>
          <w:b/>
          <w:color w:val="0D0D0D"/>
          <w:sz w:val="28"/>
          <w:szCs w:val="28"/>
        </w:rPr>
        <w:t>竞争性磋商小组</w:t>
      </w:r>
    </w:p>
    <w:p w14:paraId="6B5457C5">
      <w:pPr>
        <w:spacing w:line="500" w:lineRule="exact"/>
        <w:ind w:firstLine="560"/>
        <w:rPr>
          <w:rFonts w:eastAsia="仿宋_GB2312"/>
          <w:color w:val="0D0D0D"/>
          <w:sz w:val="28"/>
          <w:szCs w:val="28"/>
        </w:rPr>
      </w:pPr>
      <w:r>
        <w:rPr>
          <w:rFonts w:hint="eastAsia" w:eastAsia="仿宋_GB2312"/>
          <w:color w:val="0D0D0D"/>
          <w:sz w:val="28"/>
          <w:szCs w:val="28"/>
        </w:rPr>
        <w:t>5.1.1响应文件的评审工作由采购人依法组建的竞争性磋商小组负责。磋商小组由采购人代表，以及有关技术、经济等方面的专家组成，且符合现行的政府采购相关规定。</w:t>
      </w:r>
    </w:p>
    <w:p w14:paraId="3F15ED8A">
      <w:pPr>
        <w:spacing w:line="500" w:lineRule="exact"/>
        <w:ind w:firstLine="560"/>
        <w:outlineLvl w:val="3"/>
        <w:rPr>
          <w:rFonts w:eastAsia="仿宋_GB2312"/>
          <w:color w:val="0D0D0D"/>
          <w:sz w:val="28"/>
          <w:szCs w:val="28"/>
        </w:rPr>
      </w:pPr>
      <w:r>
        <w:rPr>
          <w:rFonts w:hint="eastAsia" w:eastAsia="仿宋_GB2312"/>
          <w:color w:val="0D0D0D"/>
          <w:sz w:val="28"/>
          <w:szCs w:val="28"/>
        </w:rPr>
        <w:t>5.1.2磋商小组成员有下列情形之一的，应当回避：</w:t>
      </w:r>
    </w:p>
    <w:p w14:paraId="0551FDC2">
      <w:pPr>
        <w:spacing w:line="500" w:lineRule="exact"/>
        <w:ind w:firstLine="560"/>
        <w:rPr>
          <w:rFonts w:eastAsia="仿宋_GB2312"/>
          <w:color w:val="0D0D0D"/>
          <w:sz w:val="28"/>
          <w:szCs w:val="28"/>
        </w:rPr>
      </w:pPr>
      <w:r>
        <w:rPr>
          <w:rFonts w:hint="eastAsia" w:eastAsia="仿宋_GB2312"/>
          <w:color w:val="0D0D0D"/>
          <w:sz w:val="28"/>
          <w:szCs w:val="28"/>
        </w:rPr>
        <w:t>（1）参加采购活动前三年内，与供应商存在劳动关系，或者担任过供应商的董事、监事，或者是供应商的控股股东或实际控制人；</w:t>
      </w:r>
    </w:p>
    <w:p w14:paraId="29B42C83">
      <w:pPr>
        <w:spacing w:line="500" w:lineRule="exact"/>
        <w:ind w:firstLine="560"/>
        <w:rPr>
          <w:rFonts w:eastAsia="仿宋_GB2312"/>
          <w:color w:val="0D0D0D"/>
          <w:sz w:val="28"/>
          <w:szCs w:val="28"/>
        </w:rPr>
      </w:pPr>
      <w:r>
        <w:rPr>
          <w:rFonts w:hint="eastAsia" w:eastAsia="仿宋_GB2312"/>
          <w:color w:val="0D0D0D"/>
          <w:sz w:val="28"/>
          <w:szCs w:val="28"/>
        </w:rPr>
        <w:t>（2）与供应商的法定代表人或者负责人有夫妻、直系血亲、三代以内旁系血亲或者近姻亲关系；</w:t>
      </w:r>
    </w:p>
    <w:p w14:paraId="716F0220">
      <w:pPr>
        <w:spacing w:line="500" w:lineRule="exact"/>
        <w:ind w:firstLine="560"/>
        <w:rPr>
          <w:rFonts w:eastAsia="仿宋_GB2312"/>
          <w:color w:val="0D0D0D"/>
          <w:sz w:val="28"/>
          <w:szCs w:val="28"/>
        </w:rPr>
      </w:pPr>
      <w:r>
        <w:rPr>
          <w:rFonts w:hint="eastAsia" w:eastAsia="仿宋_GB2312"/>
          <w:color w:val="0D0D0D"/>
          <w:sz w:val="28"/>
          <w:szCs w:val="28"/>
        </w:rPr>
        <w:t>（3）与供应商有其他可能影响政府采购活动公平、公正进行的关系；</w:t>
      </w:r>
    </w:p>
    <w:p w14:paraId="347537C8">
      <w:pPr>
        <w:spacing w:line="500" w:lineRule="exact"/>
        <w:ind w:firstLine="560"/>
        <w:outlineLvl w:val="4"/>
        <w:rPr>
          <w:rFonts w:eastAsia="仿宋_GB2312"/>
          <w:color w:val="0D0D0D"/>
          <w:sz w:val="28"/>
          <w:szCs w:val="28"/>
        </w:rPr>
      </w:pPr>
      <w:r>
        <w:rPr>
          <w:rFonts w:hint="eastAsia" w:eastAsia="仿宋_GB2312"/>
          <w:color w:val="0D0D0D"/>
          <w:sz w:val="28"/>
          <w:szCs w:val="28"/>
        </w:rPr>
        <w:t>（4）法律、行政法规规定的其他条件。</w:t>
      </w:r>
    </w:p>
    <w:p w14:paraId="5642E52C">
      <w:pPr>
        <w:spacing w:line="500" w:lineRule="exact"/>
        <w:outlineLvl w:val="2"/>
        <w:rPr>
          <w:rFonts w:eastAsia="楷体"/>
          <w:b/>
          <w:color w:val="0D0D0D"/>
          <w:sz w:val="28"/>
          <w:szCs w:val="28"/>
        </w:rPr>
      </w:pPr>
      <w:r>
        <w:rPr>
          <w:rFonts w:hint="eastAsia" w:eastAsia="楷体"/>
          <w:b/>
          <w:color w:val="0D0D0D"/>
          <w:sz w:val="28"/>
          <w:szCs w:val="28"/>
        </w:rPr>
        <w:t>5.2</w:t>
      </w:r>
      <w:r>
        <w:rPr>
          <w:rFonts w:hint="eastAsia" w:hAnsi="楷体" w:eastAsia="楷体"/>
          <w:b/>
          <w:color w:val="0D0D0D"/>
          <w:sz w:val="28"/>
          <w:szCs w:val="28"/>
        </w:rPr>
        <w:t>评审</w:t>
      </w:r>
    </w:p>
    <w:p w14:paraId="61051BE9">
      <w:pPr>
        <w:spacing w:line="500" w:lineRule="exact"/>
        <w:ind w:firstLine="560"/>
        <w:rPr>
          <w:rFonts w:eastAsia="仿宋_GB2312" w:cs="宋体"/>
          <w:color w:val="0D0D0D"/>
          <w:sz w:val="28"/>
          <w:szCs w:val="28"/>
        </w:rPr>
      </w:pPr>
      <w:r>
        <w:rPr>
          <w:rFonts w:hint="eastAsia" w:eastAsia="仿宋_GB2312"/>
          <w:color w:val="0D0D0D"/>
          <w:sz w:val="28"/>
          <w:szCs w:val="28"/>
        </w:rPr>
        <w:t>评审活动遵循公正、客观、审慎的原则。磋商小组严格按照本竞争性磋商文件第三章规定的评审程序和标准进行独立评审。本文件中没有规定的评审标准，不得作为评审依据。</w:t>
      </w:r>
    </w:p>
    <w:p w14:paraId="59E43CED">
      <w:pPr>
        <w:spacing w:line="500" w:lineRule="exact"/>
        <w:outlineLvl w:val="1"/>
        <w:rPr>
          <w:rFonts w:eastAsia="黑体"/>
          <w:color w:val="0D0D0D"/>
          <w:sz w:val="32"/>
          <w:szCs w:val="32"/>
        </w:rPr>
      </w:pPr>
      <w:r>
        <w:rPr>
          <w:rFonts w:eastAsia="黑体"/>
          <w:b/>
          <w:bCs/>
          <w:color w:val="0D0D0D"/>
          <w:sz w:val="32"/>
          <w:szCs w:val="32"/>
        </w:rPr>
        <w:t>6.</w:t>
      </w:r>
      <w:r>
        <w:rPr>
          <w:rFonts w:hint="eastAsia" w:hAnsi="黑体" w:eastAsia="黑体"/>
          <w:b/>
          <w:color w:val="0D0D0D"/>
          <w:sz w:val="32"/>
          <w:szCs w:val="32"/>
        </w:rPr>
        <w:t>成交</w:t>
      </w:r>
    </w:p>
    <w:p w14:paraId="68E2768A">
      <w:pPr>
        <w:spacing w:line="500" w:lineRule="exact"/>
        <w:outlineLvl w:val="2"/>
        <w:rPr>
          <w:rFonts w:eastAsia="楷体"/>
          <w:b/>
          <w:color w:val="0D0D0D"/>
          <w:sz w:val="28"/>
          <w:szCs w:val="28"/>
        </w:rPr>
      </w:pPr>
      <w:r>
        <w:rPr>
          <w:rFonts w:hint="eastAsia" w:eastAsia="楷体"/>
          <w:b/>
          <w:color w:val="0D0D0D"/>
          <w:sz w:val="28"/>
          <w:szCs w:val="28"/>
        </w:rPr>
        <w:t>6.1</w:t>
      </w:r>
      <w:r>
        <w:rPr>
          <w:rFonts w:hint="eastAsia" w:hAnsi="楷体" w:eastAsia="楷体"/>
          <w:b/>
          <w:color w:val="0D0D0D"/>
          <w:sz w:val="28"/>
          <w:szCs w:val="28"/>
        </w:rPr>
        <w:t>确定成交人</w:t>
      </w:r>
    </w:p>
    <w:p w14:paraId="6A5BA066">
      <w:pPr>
        <w:spacing w:line="500" w:lineRule="exact"/>
        <w:ind w:firstLine="560"/>
        <w:rPr>
          <w:rFonts w:eastAsia="仿宋_GB2312"/>
          <w:color w:val="0D0D0D"/>
          <w:sz w:val="28"/>
          <w:szCs w:val="28"/>
        </w:rPr>
      </w:pPr>
      <w:r>
        <w:rPr>
          <w:rFonts w:hint="eastAsia" w:eastAsia="仿宋_GB2312"/>
          <w:color w:val="0D0D0D"/>
          <w:sz w:val="28"/>
          <w:szCs w:val="28"/>
        </w:rPr>
        <w:t>采购人从磋商小组提出的成交候选人中根据符合采购需求且评审得分最高的原则确定成交供应商，并将结果通知所有参加磋商的未成交的供应商。</w:t>
      </w:r>
    </w:p>
    <w:p w14:paraId="1D1C3E2C">
      <w:pPr>
        <w:spacing w:line="500" w:lineRule="exact"/>
        <w:outlineLvl w:val="2"/>
        <w:rPr>
          <w:rFonts w:eastAsia="楷体"/>
          <w:b/>
          <w:color w:val="0D0D0D"/>
          <w:sz w:val="28"/>
          <w:szCs w:val="28"/>
        </w:rPr>
      </w:pPr>
      <w:r>
        <w:rPr>
          <w:rFonts w:hint="eastAsia" w:eastAsia="楷体"/>
          <w:b/>
          <w:color w:val="0D0D0D"/>
          <w:sz w:val="28"/>
          <w:szCs w:val="28"/>
        </w:rPr>
        <w:t>6.2</w:t>
      </w:r>
      <w:r>
        <w:rPr>
          <w:rFonts w:hint="eastAsia" w:hAnsi="楷体" w:eastAsia="楷体"/>
          <w:b/>
          <w:color w:val="0D0D0D"/>
          <w:sz w:val="28"/>
          <w:szCs w:val="28"/>
        </w:rPr>
        <w:t>成交公告及成交通知书</w:t>
      </w:r>
    </w:p>
    <w:p w14:paraId="25749F5D">
      <w:pPr>
        <w:spacing w:line="500" w:lineRule="exact"/>
        <w:ind w:firstLine="560"/>
        <w:rPr>
          <w:rFonts w:eastAsia="仿宋_GB2312"/>
          <w:color w:val="0D0D0D"/>
          <w:sz w:val="28"/>
          <w:szCs w:val="28"/>
        </w:rPr>
      </w:pPr>
      <w:r>
        <w:rPr>
          <w:rFonts w:hint="eastAsia" w:eastAsia="仿宋_GB2312"/>
          <w:color w:val="0D0D0D"/>
          <w:sz w:val="28"/>
          <w:szCs w:val="28"/>
        </w:rPr>
        <w:t>自成交人确定之日起2个工作日内，在发布竞争性磋商公告的媒介上公告成交结果。同时，向成交人发出成交通知书。成交通知书对采购人和成交人具有同等法律效力。</w:t>
      </w:r>
    </w:p>
    <w:p w14:paraId="67639058">
      <w:pPr>
        <w:spacing w:line="500" w:lineRule="exact"/>
        <w:outlineLvl w:val="1"/>
        <w:rPr>
          <w:rFonts w:eastAsia="黑体"/>
          <w:b/>
          <w:bCs/>
          <w:color w:val="0D0D0D"/>
          <w:sz w:val="32"/>
          <w:szCs w:val="32"/>
        </w:rPr>
      </w:pPr>
      <w:r>
        <w:rPr>
          <w:rFonts w:eastAsia="黑体"/>
          <w:b/>
          <w:bCs/>
          <w:color w:val="0D0D0D"/>
          <w:sz w:val="32"/>
          <w:szCs w:val="32"/>
        </w:rPr>
        <w:t>7.</w:t>
      </w:r>
      <w:r>
        <w:rPr>
          <w:rFonts w:hint="eastAsia" w:hAnsi="黑体" w:eastAsia="黑体" w:cs="宋体"/>
          <w:b/>
          <w:bCs/>
          <w:color w:val="0D0D0D"/>
          <w:sz w:val="32"/>
          <w:szCs w:val="32"/>
        </w:rPr>
        <w:t>合同</w:t>
      </w:r>
    </w:p>
    <w:p w14:paraId="6A19667F">
      <w:pPr>
        <w:spacing w:line="500" w:lineRule="exact"/>
        <w:ind w:firstLine="560"/>
        <w:rPr>
          <w:rFonts w:eastAsia="仿宋_GB2312"/>
          <w:color w:val="0D0D0D"/>
          <w:sz w:val="28"/>
          <w:szCs w:val="28"/>
        </w:rPr>
      </w:pPr>
      <w:r>
        <w:rPr>
          <w:rFonts w:hint="eastAsia" w:eastAsia="仿宋_GB2312"/>
          <w:color w:val="0D0D0D"/>
          <w:sz w:val="28"/>
          <w:szCs w:val="28"/>
        </w:rPr>
        <w:t>7.1采购人和成交人在供应商须知前附表规定的时间内，根据竞争性磋商文件和成交人的响应文件订立书面合同。成交人无正当理由拒签合同的，采购人取消其成交资格；给采购人造成损失的，成交人还应当予以赔偿。</w:t>
      </w:r>
    </w:p>
    <w:p w14:paraId="1EA9986D">
      <w:pPr>
        <w:spacing w:line="500" w:lineRule="exact"/>
        <w:ind w:firstLine="560"/>
        <w:rPr>
          <w:rFonts w:eastAsia="仿宋_GB2312"/>
          <w:b/>
          <w:color w:val="0D0D0D"/>
          <w:sz w:val="28"/>
          <w:szCs w:val="28"/>
        </w:rPr>
      </w:pPr>
      <w:r>
        <w:rPr>
          <w:rFonts w:hint="eastAsia" w:eastAsia="仿宋_GB2312"/>
          <w:color w:val="0D0D0D"/>
          <w:sz w:val="28"/>
          <w:szCs w:val="28"/>
        </w:rPr>
        <w:t>7.2成交人拒绝签订政府采购合同的，采购人可以按照本章6.1条规定的原则确定其他供应商作为成交人并签订政府采购合同，也可以重新开展采购活动。</w:t>
      </w:r>
    </w:p>
    <w:p w14:paraId="112600D3">
      <w:pPr>
        <w:spacing w:line="500" w:lineRule="exact"/>
        <w:outlineLvl w:val="1"/>
        <w:rPr>
          <w:rFonts w:eastAsia="楷体" w:cs="宋体"/>
          <w:b/>
          <w:color w:val="0D0D0D"/>
          <w:sz w:val="28"/>
          <w:szCs w:val="28"/>
        </w:rPr>
      </w:pPr>
      <w:r>
        <w:rPr>
          <w:rFonts w:hint="eastAsia" w:hAnsi="黑体" w:eastAsia="黑体"/>
          <w:b/>
          <w:color w:val="0D0D0D"/>
          <w:sz w:val="32"/>
          <w:szCs w:val="32"/>
        </w:rPr>
        <w:t>8.履约保证金</w:t>
      </w:r>
    </w:p>
    <w:p w14:paraId="5F5F18A5">
      <w:pPr>
        <w:spacing w:line="500" w:lineRule="exact"/>
        <w:ind w:firstLine="560"/>
        <w:rPr>
          <w:rFonts w:eastAsia="仿宋_GB2312"/>
          <w:color w:val="0D0D0D"/>
          <w:sz w:val="28"/>
          <w:szCs w:val="28"/>
        </w:rPr>
      </w:pPr>
      <w:r>
        <w:rPr>
          <w:rFonts w:hint="eastAsia" w:eastAsia="仿宋_GB2312"/>
          <w:color w:val="0D0D0D"/>
          <w:sz w:val="28"/>
          <w:szCs w:val="28"/>
        </w:rPr>
        <w:t>8.1</w:t>
      </w:r>
      <w:r>
        <w:rPr>
          <w:rFonts w:hint="eastAsia" w:eastAsia="仿宋_GB2312" w:cs="宋体"/>
          <w:color w:val="0D0D0D"/>
          <w:sz w:val="28"/>
          <w:szCs w:val="28"/>
        </w:rPr>
        <w:t>成交供应商应按采购人须知前附表规定的履约保证金的形式、金额和提交时间向采购人提交履约保证金。</w:t>
      </w:r>
    </w:p>
    <w:p w14:paraId="37036D21">
      <w:pPr>
        <w:spacing w:line="500" w:lineRule="exact"/>
        <w:ind w:firstLine="560"/>
        <w:rPr>
          <w:rFonts w:eastAsia="仿宋_GB2312"/>
          <w:b/>
          <w:color w:val="0D0D0D"/>
          <w:sz w:val="28"/>
          <w:szCs w:val="28"/>
        </w:rPr>
      </w:pPr>
      <w:r>
        <w:rPr>
          <w:rFonts w:hint="eastAsia" w:eastAsia="仿宋_GB2312"/>
          <w:color w:val="0D0D0D"/>
          <w:sz w:val="28"/>
          <w:szCs w:val="28"/>
        </w:rPr>
        <w:t>8.2</w:t>
      </w:r>
      <w:r>
        <w:rPr>
          <w:rFonts w:hint="eastAsia" w:eastAsia="仿宋_GB2312" w:cs="宋体"/>
          <w:color w:val="0D0D0D"/>
          <w:sz w:val="28"/>
          <w:szCs w:val="28"/>
        </w:rPr>
        <w:t>成交供应商不能按本采购文件要求提交履约保证金的，视为放弃成交，给采购人造成损失的，成交供应商还应当予以赔偿。</w:t>
      </w:r>
    </w:p>
    <w:p w14:paraId="532996CA">
      <w:pPr>
        <w:spacing w:line="500" w:lineRule="exact"/>
        <w:outlineLvl w:val="1"/>
        <w:rPr>
          <w:rFonts w:ascii="黑体" w:hAnsi="黑体" w:eastAsia="黑体" w:cs="黑体"/>
          <w:b/>
          <w:bCs/>
          <w:color w:val="0D0D0D"/>
          <w:sz w:val="32"/>
          <w:szCs w:val="32"/>
        </w:rPr>
      </w:pPr>
      <w:r>
        <w:rPr>
          <w:rFonts w:eastAsia="黑体"/>
          <w:b/>
          <w:bCs/>
          <w:color w:val="0D0D0D"/>
          <w:sz w:val="32"/>
          <w:szCs w:val="32"/>
        </w:rPr>
        <w:t>9.</w:t>
      </w:r>
      <w:r>
        <w:rPr>
          <w:rFonts w:hint="eastAsia" w:ascii="黑体" w:hAnsi="黑体" w:eastAsia="黑体" w:cs="黑体"/>
          <w:b/>
          <w:bCs/>
          <w:color w:val="0D0D0D"/>
          <w:sz w:val="32"/>
          <w:szCs w:val="32"/>
        </w:rPr>
        <w:t>需要补充的其他内容</w:t>
      </w:r>
    </w:p>
    <w:p w14:paraId="169D436B">
      <w:pPr>
        <w:pStyle w:val="208"/>
        <w:spacing w:line="520" w:lineRule="exact"/>
        <w:ind w:firstLine="560"/>
        <w:jc w:val="both"/>
        <w:outlineLvl w:val="0"/>
        <w:rPr>
          <w:rFonts w:eastAsia="仿宋_GB2312" w:cs="宋体"/>
          <w:color w:val="0D0D0D"/>
          <w:sz w:val="28"/>
        </w:rPr>
      </w:pPr>
      <w:r>
        <w:rPr>
          <w:rFonts w:hint="eastAsia" w:eastAsia="仿宋_GB2312" w:cs="宋体"/>
          <w:color w:val="0D0D0D"/>
          <w:sz w:val="28"/>
        </w:rPr>
        <w:t>需要补充的其他内容：见供应商须知前附表。</w:t>
      </w:r>
    </w:p>
    <w:p w14:paraId="25907233">
      <w:pPr>
        <w:pStyle w:val="208"/>
        <w:spacing w:line="520" w:lineRule="exact"/>
        <w:ind w:firstLine="560"/>
        <w:jc w:val="center"/>
        <w:outlineLvl w:val="0"/>
        <w:rPr>
          <w:rFonts w:ascii="Times New Roman" w:eastAsia="方正小标宋_GBK"/>
          <w:color w:val="0D0D0D"/>
          <w:sz w:val="44"/>
          <w:szCs w:val="44"/>
        </w:rPr>
      </w:pPr>
    </w:p>
    <w:p w14:paraId="1CB23C49">
      <w:pPr>
        <w:pStyle w:val="208"/>
        <w:spacing w:line="520" w:lineRule="exact"/>
        <w:ind w:firstLine="560"/>
        <w:jc w:val="center"/>
        <w:outlineLvl w:val="0"/>
        <w:rPr>
          <w:rFonts w:ascii="Times New Roman" w:eastAsia="方正小标宋_GBK"/>
          <w:color w:val="0D0D0D"/>
          <w:sz w:val="44"/>
          <w:szCs w:val="44"/>
        </w:rPr>
      </w:pPr>
    </w:p>
    <w:p w14:paraId="021DF70D">
      <w:pPr>
        <w:pStyle w:val="208"/>
        <w:spacing w:line="520" w:lineRule="exact"/>
        <w:ind w:firstLine="560"/>
        <w:jc w:val="center"/>
        <w:outlineLvl w:val="0"/>
        <w:rPr>
          <w:rFonts w:ascii="Times New Roman" w:eastAsia="方正小标宋_GBK"/>
          <w:color w:val="0D0D0D"/>
          <w:sz w:val="44"/>
          <w:szCs w:val="44"/>
        </w:rPr>
      </w:pPr>
    </w:p>
    <w:p w14:paraId="1E5B61EB">
      <w:pPr>
        <w:pStyle w:val="208"/>
        <w:spacing w:line="520" w:lineRule="exact"/>
        <w:ind w:firstLine="560"/>
        <w:jc w:val="center"/>
        <w:outlineLvl w:val="0"/>
        <w:rPr>
          <w:rFonts w:ascii="Times New Roman" w:eastAsia="方正小标宋_GBK"/>
          <w:color w:val="0D0D0D"/>
          <w:sz w:val="44"/>
          <w:szCs w:val="44"/>
        </w:rPr>
      </w:pPr>
    </w:p>
    <w:p w14:paraId="68F7F3D9">
      <w:pPr>
        <w:pStyle w:val="208"/>
        <w:spacing w:line="520" w:lineRule="exact"/>
        <w:ind w:firstLine="560"/>
        <w:jc w:val="center"/>
        <w:outlineLvl w:val="0"/>
        <w:rPr>
          <w:rFonts w:ascii="Times New Roman" w:eastAsia="方正小标宋_GBK"/>
          <w:color w:val="0D0D0D"/>
          <w:sz w:val="44"/>
          <w:szCs w:val="44"/>
        </w:rPr>
      </w:pPr>
    </w:p>
    <w:p w14:paraId="39B75485">
      <w:pPr>
        <w:pStyle w:val="208"/>
        <w:spacing w:line="520" w:lineRule="exact"/>
        <w:jc w:val="both"/>
        <w:outlineLvl w:val="0"/>
        <w:rPr>
          <w:rFonts w:ascii="Times New Roman" w:eastAsia="方正小标宋_GBK"/>
          <w:color w:val="0D0D0D"/>
          <w:sz w:val="44"/>
          <w:szCs w:val="44"/>
        </w:rPr>
      </w:pPr>
    </w:p>
    <w:p w14:paraId="2D684DB8">
      <w:pPr>
        <w:rPr>
          <w:rFonts w:eastAsia="方正小标宋_GBK"/>
          <w:color w:val="0D0D0D"/>
          <w:sz w:val="44"/>
          <w:szCs w:val="44"/>
        </w:rPr>
      </w:pPr>
      <w:r>
        <w:rPr>
          <w:rFonts w:hint="eastAsia" w:eastAsia="方正小标宋_GBK"/>
          <w:color w:val="0D0D0D"/>
          <w:sz w:val="44"/>
          <w:szCs w:val="44"/>
        </w:rPr>
        <w:br w:type="page"/>
      </w:r>
    </w:p>
    <w:p w14:paraId="074E1394">
      <w:pPr>
        <w:pStyle w:val="208"/>
        <w:spacing w:line="520" w:lineRule="exact"/>
        <w:ind w:firstLine="560"/>
        <w:jc w:val="center"/>
        <w:outlineLvl w:val="0"/>
        <w:rPr>
          <w:rFonts w:ascii="Times New Roman" w:eastAsia="方正小标宋_GBK"/>
          <w:color w:val="0D0D0D"/>
          <w:sz w:val="44"/>
          <w:szCs w:val="44"/>
        </w:rPr>
      </w:pPr>
      <w:r>
        <w:rPr>
          <w:rFonts w:hint="eastAsia" w:ascii="Times New Roman" w:eastAsia="方正小标宋_GBK"/>
          <w:color w:val="0D0D0D"/>
          <w:sz w:val="44"/>
          <w:szCs w:val="44"/>
        </w:rPr>
        <w:t>第三章  竞争性磋商</w:t>
      </w:r>
    </w:p>
    <w:p w14:paraId="5951DB0C">
      <w:pPr>
        <w:spacing w:line="560" w:lineRule="exact"/>
        <w:rPr>
          <w:rFonts w:hAnsi="黑体" w:eastAsia="黑体" w:cs="宋体"/>
          <w:b/>
          <w:color w:val="0D0D0D"/>
          <w:sz w:val="28"/>
          <w:szCs w:val="28"/>
        </w:rPr>
      </w:pPr>
      <w:r>
        <w:rPr>
          <w:rFonts w:hint="eastAsia" w:hAnsi="黑体" w:eastAsia="黑体" w:cs="宋体"/>
          <w:b/>
          <w:color w:val="0D0D0D"/>
          <w:sz w:val="28"/>
          <w:szCs w:val="28"/>
        </w:rPr>
        <w:t>竞争性磋商前附表</w:t>
      </w:r>
    </w:p>
    <w:tbl>
      <w:tblPr>
        <w:tblStyle w:val="37"/>
        <w:tblW w:w="51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8"/>
        <w:gridCol w:w="382"/>
        <w:gridCol w:w="875"/>
        <w:gridCol w:w="966"/>
        <w:gridCol w:w="6286"/>
      </w:tblGrid>
      <w:tr w14:paraId="132C5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000" w:type="pct"/>
            <w:gridSpan w:val="5"/>
            <w:vAlign w:val="center"/>
          </w:tcPr>
          <w:p w14:paraId="344D43BC">
            <w:pPr>
              <w:spacing w:line="400" w:lineRule="exact"/>
              <w:jc w:val="center"/>
              <w:rPr>
                <w:rFonts w:ascii="仿宋_GB2312" w:hAnsi="仿宋" w:eastAsia="仿宋_GB2312"/>
                <w:b/>
              </w:rPr>
            </w:pPr>
            <w:r>
              <w:rPr>
                <w:rFonts w:hint="eastAsia" w:ascii="仿宋_GB2312" w:hAnsi="仿宋" w:eastAsia="仿宋_GB2312"/>
                <w:b/>
              </w:rPr>
              <w:t>1.1资格审查</w:t>
            </w:r>
          </w:p>
        </w:tc>
      </w:tr>
      <w:tr w14:paraId="75105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544" w:type="pct"/>
            <w:vAlign w:val="center"/>
          </w:tcPr>
          <w:p w14:paraId="282337B5">
            <w:pPr>
              <w:spacing w:line="400" w:lineRule="exact"/>
              <w:jc w:val="center"/>
              <w:rPr>
                <w:rFonts w:ascii="仿宋_GB2312" w:hAnsi="仿宋" w:eastAsia="仿宋_GB2312"/>
              </w:rPr>
            </w:pPr>
            <w:r>
              <w:rPr>
                <w:rFonts w:hint="eastAsia" w:ascii="仿宋_GB2312" w:hAnsi="仿宋" w:eastAsia="仿宋_GB2312"/>
                <w:spacing w:val="-20"/>
                <w:sz w:val="24"/>
              </w:rPr>
              <w:t>评审事项</w:t>
            </w:r>
          </w:p>
        </w:tc>
        <w:tc>
          <w:tcPr>
            <w:tcW w:w="1164" w:type="pct"/>
            <w:gridSpan w:val="3"/>
            <w:vAlign w:val="center"/>
          </w:tcPr>
          <w:p w14:paraId="6A1CE4EE">
            <w:pPr>
              <w:spacing w:line="400" w:lineRule="exact"/>
              <w:jc w:val="center"/>
              <w:rPr>
                <w:rFonts w:ascii="仿宋_GB2312" w:hAnsi="仿宋" w:eastAsia="仿宋_GB2312"/>
              </w:rPr>
            </w:pPr>
            <w:r>
              <w:rPr>
                <w:rFonts w:hint="eastAsia" w:ascii="仿宋_GB2312" w:hAnsi="仿宋" w:eastAsia="仿宋_GB2312"/>
              </w:rPr>
              <w:t>评审因素</w:t>
            </w:r>
          </w:p>
        </w:tc>
        <w:tc>
          <w:tcPr>
            <w:tcW w:w="3291" w:type="pct"/>
            <w:vAlign w:val="center"/>
          </w:tcPr>
          <w:p w14:paraId="718777EB">
            <w:pPr>
              <w:spacing w:line="400" w:lineRule="exact"/>
              <w:jc w:val="center"/>
              <w:rPr>
                <w:rFonts w:ascii="仿宋_GB2312" w:hAnsi="仿宋" w:eastAsia="仿宋_GB2312"/>
              </w:rPr>
            </w:pPr>
            <w:r>
              <w:rPr>
                <w:rFonts w:hint="eastAsia" w:ascii="仿宋_GB2312" w:hAnsi="仿宋" w:eastAsia="仿宋_GB2312"/>
              </w:rPr>
              <w:t>评审标准</w:t>
            </w:r>
          </w:p>
        </w:tc>
      </w:tr>
      <w:tr w14:paraId="34AFF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44" w:type="pct"/>
            <w:vMerge w:val="restart"/>
            <w:vAlign w:val="center"/>
          </w:tcPr>
          <w:p w14:paraId="0FCF4832">
            <w:pPr>
              <w:spacing w:line="400" w:lineRule="exact"/>
              <w:jc w:val="center"/>
              <w:rPr>
                <w:rFonts w:ascii="仿宋_GB2312" w:hAnsi="仿宋" w:eastAsia="仿宋_GB2312"/>
              </w:rPr>
            </w:pPr>
            <w:r>
              <w:rPr>
                <w:rFonts w:hint="eastAsia" w:ascii="仿宋_GB2312" w:hAnsi="仿宋" w:eastAsia="仿宋_GB2312"/>
              </w:rPr>
              <w:t>资格审查</w:t>
            </w:r>
          </w:p>
        </w:tc>
        <w:tc>
          <w:tcPr>
            <w:tcW w:w="1164" w:type="pct"/>
            <w:gridSpan w:val="3"/>
            <w:vAlign w:val="center"/>
          </w:tcPr>
          <w:p w14:paraId="1E1152C0">
            <w:pPr>
              <w:spacing w:line="360" w:lineRule="exact"/>
              <w:jc w:val="center"/>
              <w:rPr>
                <w:rFonts w:ascii="仿宋_GB2312" w:hAnsi="仿宋" w:eastAsia="仿宋_GB2312"/>
              </w:rPr>
            </w:pPr>
            <w:r>
              <w:rPr>
                <w:rFonts w:hint="eastAsia" w:ascii="仿宋_GB2312" w:hAnsi="仿宋" w:eastAsia="仿宋_GB2312"/>
              </w:rPr>
              <w:t>基本资格条件的承诺</w:t>
            </w:r>
          </w:p>
        </w:tc>
        <w:tc>
          <w:tcPr>
            <w:tcW w:w="3291" w:type="pct"/>
            <w:vAlign w:val="center"/>
          </w:tcPr>
          <w:p w14:paraId="19A04627">
            <w:pPr>
              <w:spacing w:line="340" w:lineRule="exact"/>
              <w:jc w:val="left"/>
              <w:rPr>
                <w:rFonts w:ascii="仿宋_GB2312" w:hAnsi="仿宋" w:eastAsia="仿宋_GB2312"/>
              </w:rPr>
            </w:pPr>
            <w:r>
              <w:rPr>
                <w:rFonts w:hint="eastAsia" w:ascii="仿宋_GB2312" w:hAnsi="仿宋" w:eastAsia="仿宋_GB2312"/>
              </w:rPr>
              <w:t>根据供应商提供的承诺书，内容完整且具有法人及法定代表人的印章。（内容及格式参照第六章《供应商基本资格条件承诺书》）</w:t>
            </w:r>
          </w:p>
        </w:tc>
      </w:tr>
      <w:tr w14:paraId="1153C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544" w:type="pct"/>
            <w:vMerge w:val="continue"/>
            <w:vAlign w:val="center"/>
          </w:tcPr>
          <w:p w14:paraId="4121172A">
            <w:pPr>
              <w:spacing w:line="400" w:lineRule="exact"/>
              <w:jc w:val="center"/>
              <w:rPr>
                <w:rFonts w:hint="eastAsia" w:ascii="仿宋_GB2312" w:hAnsi="仿宋" w:eastAsia="仿宋_GB2312"/>
              </w:rPr>
            </w:pPr>
          </w:p>
        </w:tc>
        <w:tc>
          <w:tcPr>
            <w:tcW w:w="1164" w:type="pct"/>
            <w:gridSpan w:val="3"/>
            <w:vAlign w:val="center"/>
          </w:tcPr>
          <w:p w14:paraId="06415232">
            <w:pPr>
              <w:spacing w:line="360" w:lineRule="exact"/>
              <w:jc w:val="center"/>
              <w:rPr>
                <w:rFonts w:hint="eastAsia" w:ascii="仿宋_GB2312" w:hAnsi="仿宋" w:eastAsia="仿宋_GB2312"/>
              </w:rPr>
            </w:pPr>
            <w:r>
              <w:rPr>
                <w:rFonts w:hint="eastAsia" w:ascii="仿宋_GB2312" w:hAnsi="仿宋" w:eastAsia="仿宋_GB2312"/>
              </w:rPr>
              <w:t>落实政府采购政策需满足的资格要求</w:t>
            </w:r>
          </w:p>
        </w:tc>
        <w:tc>
          <w:tcPr>
            <w:tcW w:w="3291" w:type="pct"/>
            <w:vAlign w:val="center"/>
          </w:tcPr>
          <w:p w14:paraId="7DE6D316">
            <w:pPr>
              <w:spacing w:line="340" w:lineRule="exact"/>
              <w:jc w:val="left"/>
              <w:rPr>
                <w:rFonts w:hint="eastAsia" w:ascii="仿宋_GB2312" w:hAnsi="仿宋" w:eastAsia="仿宋_GB2312"/>
              </w:rPr>
            </w:pPr>
            <w:r>
              <w:rPr>
                <w:rFonts w:hint="eastAsia" w:ascii="仿宋_GB2312" w:hAnsi="仿宋" w:eastAsia="仿宋_GB2312"/>
              </w:rPr>
              <w:t>本项目为专门面向中小企业的项目。</w:t>
            </w:r>
            <w:r>
              <w:rPr>
                <w:rFonts w:hint="eastAsia" w:ascii="仿宋_GB2312" w:hAnsi="仿宋" w:eastAsia="仿宋_GB2312"/>
                <w:lang w:val="zh-CN"/>
              </w:rPr>
              <w:t>提供《中小企业声明函》（格式见附件）</w:t>
            </w:r>
          </w:p>
        </w:tc>
      </w:tr>
      <w:tr w14:paraId="3F3AC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5000" w:type="pct"/>
            <w:gridSpan w:val="5"/>
            <w:vAlign w:val="center"/>
          </w:tcPr>
          <w:p w14:paraId="4863FF02">
            <w:pPr>
              <w:spacing w:line="400" w:lineRule="exact"/>
              <w:jc w:val="center"/>
              <w:rPr>
                <w:rFonts w:ascii="仿宋_GB2312" w:hAnsi="仿宋" w:eastAsia="仿宋_GB2312"/>
                <w:b/>
              </w:rPr>
            </w:pPr>
            <w:r>
              <w:rPr>
                <w:rFonts w:hint="eastAsia" w:ascii="仿宋_GB2312" w:hAnsi="仿宋" w:eastAsia="仿宋_GB2312"/>
                <w:b/>
              </w:rPr>
              <w:t>响应文件不符合评审标准之一的，评审结论为不合格。</w:t>
            </w:r>
          </w:p>
        </w:tc>
      </w:tr>
      <w:tr w14:paraId="0C100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000" w:type="pct"/>
            <w:gridSpan w:val="5"/>
            <w:vAlign w:val="center"/>
          </w:tcPr>
          <w:p w14:paraId="4E2567E8">
            <w:pPr>
              <w:spacing w:line="400" w:lineRule="exact"/>
              <w:jc w:val="center"/>
              <w:rPr>
                <w:rFonts w:ascii="仿宋_GB2312" w:hAnsi="仿宋" w:eastAsia="仿宋_GB2312"/>
                <w:b/>
              </w:rPr>
            </w:pPr>
            <w:r>
              <w:rPr>
                <w:rFonts w:hint="eastAsia" w:ascii="仿宋_GB2312" w:hAnsi="仿宋" w:eastAsia="仿宋_GB2312"/>
                <w:b/>
              </w:rPr>
              <w:t>4.2响应性评审</w:t>
            </w:r>
          </w:p>
        </w:tc>
      </w:tr>
      <w:tr w14:paraId="79965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4" w:type="pct"/>
            <w:vAlign w:val="center"/>
          </w:tcPr>
          <w:p w14:paraId="5F12523C">
            <w:pPr>
              <w:spacing w:line="400" w:lineRule="exact"/>
              <w:jc w:val="center"/>
              <w:rPr>
                <w:rFonts w:ascii="仿宋_GB2312" w:hAnsi="仿宋" w:eastAsia="仿宋_GB2312"/>
              </w:rPr>
            </w:pPr>
            <w:r>
              <w:rPr>
                <w:rFonts w:hint="eastAsia" w:ascii="仿宋_GB2312" w:hAnsi="仿宋" w:eastAsia="仿宋_GB2312"/>
                <w:spacing w:val="-20"/>
                <w:sz w:val="24"/>
              </w:rPr>
              <w:t>评审事项</w:t>
            </w:r>
          </w:p>
        </w:tc>
        <w:tc>
          <w:tcPr>
            <w:tcW w:w="658" w:type="pct"/>
            <w:gridSpan w:val="2"/>
            <w:vAlign w:val="center"/>
          </w:tcPr>
          <w:p w14:paraId="5CE99F03">
            <w:pPr>
              <w:spacing w:line="400" w:lineRule="exact"/>
              <w:jc w:val="center"/>
              <w:rPr>
                <w:rFonts w:ascii="仿宋_GB2312" w:hAnsi="仿宋" w:eastAsia="仿宋_GB2312"/>
              </w:rPr>
            </w:pPr>
            <w:r>
              <w:rPr>
                <w:rFonts w:hint="eastAsia" w:ascii="仿宋_GB2312" w:hAnsi="仿宋" w:eastAsia="仿宋_GB2312"/>
              </w:rPr>
              <w:t>评审因素</w:t>
            </w:r>
          </w:p>
        </w:tc>
        <w:tc>
          <w:tcPr>
            <w:tcW w:w="3797" w:type="pct"/>
            <w:gridSpan w:val="2"/>
            <w:vAlign w:val="center"/>
          </w:tcPr>
          <w:p w14:paraId="0986206B">
            <w:pPr>
              <w:spacing w:line="400" w:lineRule="exact"/>
              <w:jc w:val="center"/>
              <w:rPr>
                <w:rFonts w:ascii="仿宋_GB2312" w:hAnsi="仿宋" w:eastAsia="仿宋_GB2312"/>
              </w:rPr>
            </w:pPr>
            <w:r>
              <w:rPr>
                <w:rFonts w:hint="eastAsia" w:ascii="仿宋_GB2312" w:hAnsi="仿宋" w:eastAsia="仿宋_GB2312"/>
              </w:rPr>
              <w:t>评审标准</w:t>
            </w:r>
          </w:p>
        </w:tc>
      </w:tr>
      <w:tr w14:paraId="7354A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44" w:type="pct"/>
            <w:vAlign w:val="center"/>
          </w:tcPr>
          <w:p w14:paraId="36CC58E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_GB2312" w:hAnsi="仿宋" w:eastAsia="仿宋_GB2312"/>
                <w:spacing w:val="-20"/>
                <w:sz w:val="24"/>
                <w:lang w:val="en-US" w:eastAsia="zh-CN"/>
              </w:rPr>
            </w:pPr>
            <w:r>
              <w:rPr>
                <w:rFonts w:hint="eastAsia" w:ascii="仿宋_GB2312" w:hAnsi="仿宋" w:eastAsia="仿宋_GB2312"/>
                <w:spacing w:val="-20"/>
                <w:sz w:val="24"/>
                <w:lang w:val="en-US" w:eastAsia="zh-CN"/>
              </w:rPr>
              <w:t>形式性评审</w:t>
            </w:r>
          </w:p>
        </w:tc>
        <w:tc>
          <w:tcPr>
            <w:tcW w:w="658" w:type="pct"/>
            <w:gridSpan w:val="2"/>
            <w:vAlign w:val="center"/>
          </w:tcPr>
          <w:p w14:paraId="5A81E99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仿宋_GB2312" w:hAnsi="仿宋" w:eastAsia="仿宋_GB2312"/>
              </w:rPr>
            </w:pPr>
            <w:r>
              <w:rPr>
                <w:rFonts w:hint="eastAsia" w:ascii="仿宋_GB2312" w:hAnsi="仿宋" w:eastAsia="仿宋_GB2312"/>
              </w:rPr>
              <w:t>响应函签署</w:t>
            </w:r>
          </w:p>
        </w:tc>
        <w:tc>
          <w:tcPr>
            <w:tcW w:w="3797" w:type="pct"/>
            <w:gridSpan w:val="2"/>
            <w:vAlign w:val="center"/>
          </w:tcPr>
          <w:p w14:paraId="2C9120BC">
            <w:pPr>
              <w:spacing w:line="400" w:lineRule="exact"/>
              <w:jc w:val="left"/>
              <w:rPr>
                <w:rFonts w:hint="eastAsia" w:ascii="仿宋_GB2312" w:hAnsi="仿宋" w:eastAsia="仿宋_GB2312"/>
              </w:rPr>
            </w:pPr>
            <w:r>
              <w:rPr>
                <w:rFonts w:hint="eastAsia" w:ascii="仿宋_GB2312" w:hAnsi="仿宋" w:eastAsia="仿宋_GB2312"/>
              </w:rPr>
              <w:t>响应函具有供应商法人及法定代表人的签章</w:t>
            </w:r>
          </w:p>
        </w:tc>
      </w:tr>
      <w:tr w14:paraId="3EA36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44" w:type="pct"/>
            <w:vMerge w:val="restart"/>
            <w:vAlign w:val="center"/>
          </w:tcPr>
          <w:p w14:paraId="16EEC4B1">
            <w:pPr>
              <w:spacing w:line="400" w:lineRule="exact"/>
              <w:jc w:val="center"/>
              <w:rPr>
                <w:rFonts w:ascii="仿宋_GB2312" w:hAnsi="仿宋" w:eastAsia="仿宋_GB2312"/>
              </w:rPr>
            </w:pPr>
            <w:r>
              <w:rPr>
                <w:rFonts w:hint="eastAsia" w:ascii="仿宋_GB2312" w:hAnsi="仿宋" w:eastAsia="仿宋_GB2312"/>
              </w:rPr>
              <w:t>响应性</w:t>
            </w:r>
          </w:p>
          <w:p w14:paraId="60FC67EE">
            <w:pPr>
              <w:spacing w:line="400" w:lineRule="exact"/>
              <w:jc w:val="center"/>
              <w:rPr>
                <w:rFonts w:ascii="仿宋_GB2312" w:hAnsi="仿宋" w:eastAsia="仿宋_GB2312"/>
              </w:rPr>
            </w:pPr>
            <w:r>
              <w:rPr>
                <w:rFonts w:hint="eastAsia" w:ascii="仿宋_GB2312" w:hAnsi="仿宋" w:eastAsia="仿宋_GB2312"/>
              </w:rPr>
              <w:t>评审</w:t>
            </w:r>
          </w:p>
        </w:tc>
        <w:tc>
          <w:tcPr>
            <w:tcW w:w="658" w:type="pct"/>
            <w:gridSpan w:val="2"/>
            <w:vAlign w:val="center"/>
          </w:tcPr>
          <w:p w14:paraId="4E2C070D">
            <w:pPr>
              <w:spacing w:line="400" w:lineRule="exact"/>
              <w:jc w:val="center"/>
              <w:rPr>
                <w:rFonts w:ascii="仿宋_GB2312" w:hAnsi="仿宋" w:eastAsia="仿宋_GB2312"/>
              </w:rPr>
            </w:pPr>
            <w:r>
              <w:rPr>
                <w:rFonts w:hint="eastAsia" w:ascii="仿宋_GB2312" w:hAnsi="仿宋" w:eastAsia="仿宋_GB2312"/>
              </w:rPr>
              <w:t>报价</w:t>
            </w:r>
          </w:p>
        </w:tc>
        <w:tc>
          <w:tcPr>
            <w:tcW w:w="3797" w:type="pct"/>
            <w:gridSpan w:val="2"/>
            <w:vAlign w:val="center"/>
          </w:tcPr>
          <w:p w14:paraId="0A1765A7">
            <w:pPr>
              <w:spacing w:line="300" w:lineRule="exact"/>
              <w:jc w:val="left"/>
              <w:rPr>
                <w:rFonts w:ascii="仿宋_GB2312" w:hAnsi="仿宋" w:eastAsia="仿宋_GB2312"/>
              </w:rPr>
            </w:pPr>
            <w:r>
              <w:rPr>
                <w:rFonts w:hint="eastAsia" w:ascii="仿宋_GB2312" w:hAnsi="仿宋" w:eastAsia="仿宋_GB2312"/>
              </w:rPr>
              <w:t>有且只有一个有效报价，未超过最高限价</w:t>
            </w:r>
          </w:p>
        </w:tc>
      </w:tr>
      <w:tr w14:paraId="183EE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44" w:type="pct"/>
            <w:vMerge w:val="continue"/>
            <w:vAlign w:val="center"/>
          </w:tcPr>
          <w:p w14:paraId="1DF36062">
            <w:pPr>
              <w:spacing w:line="400" w:lineRule="exact"/>
              <w:jc w:val="center"/>
              <w:rPr>
                <w:rFonts w:ascii="仿宋_GB2312" w:hAnsi="仿宋" w:eastAsia="仿宋_GB2312"/>
              </w:rPr>
            </w:pPr>
          </w:p>
        </w:tc>
        <w:tc>
          <w:tcPr>
            <w:tcW w:w="658" w:type="pct"/>
            <w:gridSpan w:val="2"/>
            <w:vAlign w:val="center"/>
          </w:tcPr>
          <w:p w14:paraId="1CC55789">
            <w:pPr>
              <w:spacing w:line="340" w:lineRule="exact"/>
              <w:jc w:val="center"/>
              <w:rPr>
                <w:rFonts w:ascii="仿宋_GB2312" w:hAnsi="仿宋" w:eastAsia="仿宋_GB2312"/>
              </w:rPr>
            </w:pPr>
            <w:r>
              <w:rPr>
                <w:rFonts w:hint="eastAsia" w:ascii="仿宋_GB2312" w:hAnsi="仿宋" w:eastAsia="仿宋_GB2312"/>
                <w:lang w:val="en-US" w:eastAsia="zh-CN"/>
              </w:rPr>
              <w:t>采购</w:t>
            </w:r>
            <w:r>
              <w:rPr>
                <w:rFonts w:hint="eastAsia" w:ascii="仿宋_GB2312" w:hAnsi="仿宋" w:eastAsia="仿宋_GB2312"/>
                <w:lang w:eastAsia="zh-CN"/>
              </w:rPr>
              <w:t>需</w:t>
            </w:r>
            <w:r>
              <w:rPr>
                <w:rFonts w:hint="eastAsia" w:ascii="仿宋_GB2312" w:hAnsi="仿宋" w:eastAsia="仿宋_GB2312"/>
              </w:rPr>
              <w:t>求响应</w:t>
            </w:r>
          </w:p>
        </w:tc>
        <w:tc>
          <w:tcPr>
            <w:tcW w:w="3797" w:type="pct"/>
            <w:gridSpan w:val="2"/>
            <w:vAlign w:val="center"/>
          </w:tcPr>
          <w:p w14:paraId="3B010762">
            <w:pPr>
              <w:spacing w:line="300" w:lineRule="exact"/>
              <w:jc w:val="left"/>
              <w:rPr>
                <w:rFonts w:ascii="仿宋_GB2312" w:hAnsi="仿宋" w:eastAsia="仿宋_GB2312"/>
                <w:color w:val="FF0000"/>
              </w:rPr>
            </w:pPr>
            <w:r>
              <w:rPr>
                <w:rFonts w:hint="eastAsia" w:ascii="仿宋_GB2312" w:hAnsi="仿宋" w:eastAsia="仿宋_GB2312"/>
                <w:color w:val="FF0000"/>
                <w:lang w:val="zh-CN"/>
              </w:rPr>
              <w:t>1.项目经理</w:t>
            </w:r>
            <w:r>
              <w:rPr>
                <w:rFonts w:hint="eastAsia" w:ascii="仿宋_GB2312" w:hAnsi="仿宋" w:eastAsia="仿宋_GB2312"/>
                <w:color w:val="FF0000"/>
              </w:rPr>
              <w:t>（1名）：50 周岁（含）以内，大专及以上文化</w:t>
            </w:r>
            <w:r>
              <w:rPr>
                <w:rFonts w:hint="eastAsia" w:ascii="仿宋_GB2312" w:hAnsi="仿宋" w:eastAsia="仿宋_GB2312"/>
                <w:color w:val="FF0000"/>
                <w:lang w:val="zh-CN"/>
              </w:rPr>
              <w:t>（须提供身份证、</w:t>
            </w:r>
            <w:r>
              <w:rPr>
                <w:rFonts w:hint="eastAsia" w:ascii="仿宋_GB2312" w:hAnsi="仿宋" w:eastAsia="仿宋_GB2312"/>
                <w:color w:val="FF0000"/>
              </w:rPr>
              <w:t>相关</w:t>
            </w:r>
            <w:r>
              <w:rPr>
                <w:rFonts w:hint="eastAsia" w:ascii="仿宋_GB2312" w:hAnsi="仿宋" w:eastAsia="仿宋_GB2312"/>
                <w:color w:val="FF0000"/>
                <w:lang w:val="zh-CN"/>
              </w:rPr>
              <w:t>证书</w:t>
            </w:r>
            <w:r>
              <w:rPr>
                <w:rFonts w:hint="eastAsia" w:ascii="仿宋_GB2312" w:hAnsi="仿宋" w:eastAsia="仿宋_GB2312"/>
                <w:color w:val="FF0000"/>
              </w:rPr>
              <w:t>以及</w:t>
            </w:r>
            <w:r>
              <w:rPr>
                <w:rFonts w:hint="eastAsia" w:ascii="仿宋_GB2312" w:hAnsi="仿宋" w:eastAsia="仿宋_GB2312"/>
                <w:color w:val="FF0000"/>
                <w:lang w:eastAsia="zh-CN"/>
              </w:rPr>
              <w:t>供应商</w:t>
            </w:r>
            <w:r>
              <w:rPr>
                <w:rFonts w:hint="eastAsia" w:ascii="仿宋_GB2312" w:hAnsi="仿宋" w:eastAsia="仿宋_GB2312"/>
                <w:color w:val="FF0000"/>
              </w:rPr>
              <w:t>为其缴纳的当月或上月社保证明的复印件)；</w:t>
            </w:r>
          </w:p>
          <w:p w14:paraId="4A357349">
            <w:pPr>
              <w:spacing w:line="300" w:lineRule="exact"/>
              <w:jc w:val="left"/>
              <w:rPr>
                <w:rFonts w:hint="eastAsia" w:ascii="仿宋_GB2312" w:hAnsi="仿宋" w:eastAsia="仿宋_GB2312"/>
                <w:color w:val="FF0000"/>
              </w:rPr>
            </w:pPr>
            <w:r>
              <w:rPr>
                <w:rFonts w:hint="eastAsia" w:ascii="仿宋_GB2312" w:hAnsi="仿宋" w:eastAsia="仿宋_GB2312"/>
                <w:color w:val="FF0000"/>
              </w:rPr>
              <w:t>2.保安</w:t>
            </w:r>
            <w:r>
              <w:rPr>
                <w:rFonts w:hint="eastAsia" w:ascii="仿宋_GB2312" w:hAnsi="仿宋" w:eastAsia="仿宋_GB2312"/>
                <w:color w:val="FF0000"/>
                <w:lang w:val="en-US" w:eastAsia="zh-CN"/>
              </w:rPr>
              <w:t>人员</w:t>
            </w:r>
            <w:r>
              <w:rPr>
                <w:rFonts w:hint="eastAsia" w:ascii="仿宋_GB2312" w:hAnsi="仿宋" w:eastAsia="仿宋_GB2312"/>
                <w:color w:val="FF0000"/>
              </w:rPr>
              <w:t>（</w:t>
            </w:r>
            <w:r>
              <w:rPr>
                <w:rFonts w:hint="eastAsia" w:ascii="仿宋_GB2312" w:hAnsi="仿宋" w:eastAsia="仿宋_GB2312"/>
                <w:color w:val="FF0000"/>
                <w:lang w:val="en-US" w:eastAsia="zh-CN"/>
              </w:rPr>
              <w:t>13</w:t>
            </w:r>
            <w:r>
              <w:rPr>
                <w:rFonts w:hint="eastAsia" w:ascii="仿宋_GB2312" w:hAnsi="仿宋" w:eastAsia="仿宋_GB2312"/>
                <w:color w:val="FF0000"/>
              </w:rPr>
              <w:t>名）：</w:t>
            </w:r>
          </w:p>
          <w:p w14:paraId="521C88B1">
            <w:pPr>
              <w:spacing w:line="300" w:lineRule="exact"/>
              <w:jc w:val="left"/>
              <w:rPr>
                <w:rFonts w:hint="default" w:ascii="仿宋_GB2312" w:hAnsi="仿宋" w:eastAsia="仿宋_GB2312"/>
                <w:color w:val="FF0000"/>
                <w:lang w:val="en-US" w:eastAsia="zh-CN"/>
              </w:rPr>
            </w:pPr>
            <w:r>
              <w:rPr>
                <w:rFonts w:hint="eastAsia" w:ascii="仿宋_GB2312" w:hAnsi="仿宋" w:eastAsia="仿宋_GB2312"/>
                <w:color w:val="FF0000"/>
                <w:lang w:val="en-US" w:eastAsia="zh-CN"/>
              </w:rPr>
              <w:t>保安主管1名，</w:t>
            </w:r>
            <w:r>
              <w:rPr>
                <w:rFonts w:hint="eastAsia" w:ascii="仿宋_GB2312" w:hAnsi="仿宋" w:eastAsia="仿宋_GB2312"/>
                <w:color w:val="FF0000"/>
              </w:rPr>
              <w:t>男，45 周岁（含）以内，具备公安部门颁发的保安员资格证书。（须提供身份证、相关证书以及供应商为其缴纳的当月或上月社保证明)</w:t>
            </w:r>
            <w:r>
              <w:rPr>
                <w:rFonts w:hint="eastAsia" w:ascii="仿宋_GB2312" w:hAnsi="仿宋" w:eastAsia="仿宋_GB2312"/>
                <w:color w:val="FF0000"/>
                <w:lang w:eastAsia="zh-CN"/>
              </w:rPr>
              <w:t>；</w:t>
            </w:r>
            <w:r>
              <w:rPr>
                <w:rFonts w:hint="eastAsia" w:ascii="仿宋_GB2312" w:hAnsi="仿宋" w:eastAsia="仿宋_GB2312"/>
                <w:color w:val="FF0000"/>
                <w:lang w:val="en-US" w:eastAsia="zh-CN"/>
              </w:rPr>
              <w:t>保安人员12名，男 60 周岁（含）以内、女 50 周岁（含）以内，持公安机关颁发的保安员证。</w:t>
            </w:r>
            <w:r>
              <w:rPr>
                <w:rFonts w:hint="eastAsia" w:ascii="仿宋_GB2312" w:hAnsi="仿宋" w:eastAsia="仿宋_GB2312"/>
                <w:color w:val="FF0000"/>
              </w:rPr>
              <w:t>（须提供身份证、相关证书)</w:t>
            </w:r>
          </w:p>
          <w:p w14:paraId="3F26F068">
            <w:pPr>
              <w:spacing w:line="300" w:lineRule="exact"/>
              <w:jc w:val="left"/>
              <w:rPr>
                <w:rFonts w:hint="eastAsia" w:ascii="仿宋_GB2312" w:hAnsi="仿宋" w:eastAsia="仿宋_GB2312"/>
                <w:color w:val="FF0000"/>
                <w:lang w:eastAsia="zh-CN"/>
              </w:rPr>
            </w:pPr>
            <w:r>
              <w:rPr>
                <w:rFonts w:hint="eastAsia" w:ascii="仿宋_GB2312" w:hAnsi="仿宋" w:eastAsia="仿宋_GB2312"/>
                <w:color w:val="FF0000"/>
                <w:lang w:val="en-US" w:eastAsia="zh-CN"/>
              </w:rPr>
              <w:t>3</w:t>
            </w:r>
            <w:r>
              <w:rPr>
                <w:rFonts w:hint="eastAsia" w:ascii="仿宋_GB2312" w:hAnsi="仿宋" w:eastAsia="仿宋_GB2312"/>
                <w:color w:val="FF0000"/>
              </w:rPr>
              <w:t>.消控人员（</w:t>
            </w:r>
            <w:r>
              <w:rPr>
                <w:rFonts w:hint="eastAsia" w:ascii="仿宋_GB2312" w:hAnsi="仿宋" w:eastAsia="仿宋_GB2312"/>
                <w:color w:val="FF0000"/>
                <w:lang w:val="en-US" w:eastAsia="zh-CN"/>
              </w:rPr>
              <w:t>7</w:t>
            </w:r>
            <w:r>
              <w:rPr>
                <w:rFonts w:hint="eastAsia" w:ascii="仿宋_GB2312" w:hAnsi="仿宋" w:eastAsia="仿宋_GB2312"/>
                <w:color w:val="FF0000"/>
              </w:rPr>
              <w:t>名）：男 60 周岁（含）以内、女 50 周岁（含）以内，持有</w:t>
            </w:r>
            <w:r>
              <w:rPr>
                <w:rFonts w:hint="eastAsia" w:ascii="仿宋_GB2312" w:hAnsi="仿宋" w:eastAsia="仿宋_GB2312"/>
                <w:color w:val="FF0000"/>
                <w:lang w:val="en-US" w:eastAsia="zh-CN"/>
              </w:rPr>
              <w:t>消防设施操作员证</w:t>
            </w:r>
            <w:r>
              <w:rPr>
                <w:rFonts w:hint="eastAsia" w:ascii="仿宋_GB2312" w:hAnsi="仿宋" w:eastAsia="仿宋_GB2312"/>
                <w:color w:val="FF0000"/>
              </w:rPr>
              <w:t>。（须提供相关证书及供应商为其缴纳的当月或上月社保证明)</w:t>
            </w:r>
            <w:r>
              <w:rPr>
                <w:rFonts w:hint="eastAsia" w:ascii="仿宋_GB2312" w:hAnsi="仿宋" w:eastAsia="仿宋_GB2312"/>
                <w:color w:val="FF0000"/>
                <w:lang w:eastAsia="zh-CN"/>
              </w:rPr>
              <w:t>；</w:t>
            </w:r>
          </w:p>
          <w:p w14:paraId="4CDF4022">
            <w:pPr>
              <w:spacing w:line="300" w:lineRule="exact"/>
              <w:jc w:val="left"/>
              <w:rPr>
                <w:rFonts w:hint="eastAsia" w:eastAsia="仿宋_GB2312"/>
                <w:lang w:val="en-US" w:eastAsia="zh-CN"/>
              </w:rPr>
            </w:pPr>
            <w:r>
              <w:rPr>
                <w:rFonts w:hint="eastAsia" w:ascii="仿宋_GB2312" w:hAnsi="仿宋" w:eastAsia="仿宋_GB2312"/>
                <w:color w:val="FF0000"/>
                <w:lang w:val="en-US" w:eastAsia="zh-CN"/>
              </w:rPr>
              <w:t>4</w:t>
            </w:r>
            <w:r>
              <w:rPr>
                <w:rFonts w:hint="eastAsia" w:ascii="仿宋_GB2312" w:hAnsi="仿宋" w:eastAsia="仿宋_GB2312"/>
                <w:color w:val="FF0000"/>
              </w:rPr>
              <w:t>.水电工（</w:t>
            </w:r>
            <w:r>
              <w:rPr>
                <w:rFonts w:hint="eastAsia" w:ascii="仿宋_GB2312" w:hAnsi="仿宋" w:eastAsia="仿宋_GB2312"/>
                <w:color w:val="FF0000"/>
                <w:lang w:val="en-US" w:eastAsia="zh-CN"/>
              </w:rPr>
              <w:t>2</w:t>
            </w:r>
            <w:r>
              <w:rPr>
                <w:rFonts w:hint="eastAsia" w:ascii="仿宋_GB2312" w:hAnsi="仿宋" w:eastAsia="仿宋_GB2312"/>
                <w:color w:val="FF0000"/>
              </w:rPr>
              <w:t>名）：男，55周岁（含）以内，</w:t>
            </w:r>
            <w:r>
              <w:rPr>
                <w:rFonts w:hint="eastAsia" w:ascii="仿宋_GB2312" w:hAnsi="仿宋" w:eastAsia="仿宋_GB2312"/>
                <w:color w:val="FF0000"/>
                <w:lang w:eastAsia="zh-CN"/>
              </w:rPr>
              <w:t>一名</w:t>
            </w:r>
            <w:r>
              <w:rPr>
                <w:rFonts w:hint="eastAsia" w:ascii="仿宋_GB2312" w:hAnsi="仿宋" w:eastAsia="仿宋_GB2312"/>
                <w:color w:val="FF0000"/>
              </w:rPr>
              <w:t>持有应急管理部门颁发的“高压电工作业”资格的特种作业操作证</w:t>
            </w:r>
            <w:r>
              <w:rPr>
                <w:rFonts w:hint="eastAsia" w:ascii="仿宋_GB2312" w:hAnsi="仿宋" w:eastAsia="仿宋_GB2312"/>
                <w:color w:val="FF0000"/>
                <w:lang w:eastAsia="zh-CN"/>
              </w:rPr>
              <w:t>，一名持有</w:t>
            </w:r>
            <w:r>
              <w:rPr>
                <w:rFonts w:hint="eastAsia" w:ascii="仿宋_GB2312" w:hAnsi="仿宋" w:eastAsia="仿宋_GB2312"/>
                <w:color w:val="FF0000"/>
              </w:rPr>
              <w:t>应急管理部门颁发的“低压电工作业”资格的特种作业操作证。（须提供</w:t>
            </w:r>
            <w:r>
              <w:rPr>
                <w:rFonts w:hint="eastAsia" w:ascii="仿宋_GB2312" w:hAnsi="仿宋" w:eastAsia="仿宋_GB2312"/>
                <w:color w:val="FF0000"/>
                <w:lang w:eastAsia="zh-CN"/>
              </w:rPr>
              <w:t>身份证、</w:t>
            </w:r>
            <w:r>
              <w:rPr>
                <w:rFonts w:hint="eastAsia" w:ascii="仿宋_GB2312" w:hAnsi="仿宋" w:eastAsia="仿宋_GB2312"/>
                <w:color w:val="FF0000"/>
              </w:rPr>
              <w:t>相关证书及供应商为其缴纳的当月或上月社保证明)</w:t>
            </w:r>
            <w:r>
              <w:rPr>
                <w:rFonts w:hint="eastAsia" w:ascii="仿宋_GB2312" w:hAnsi="仿宋" w:eastAsia="仿宋_GB2312"/>
                <w:color w:val="FF0000"/>
                <w:lang w:eastAsia="zh-CN"/>
              </w:rPr>
              <w:t>；</w:t>
            </w:r>
          </w:p>
          <w:p w14:paraId="2FCC8EBF">
            <w:pPr>
              <w:spacing w:line="300" w:lineRule="exact"/>
              <w:jc w:val="left"/>
              <w:rPr>
                <w:rFonts w:ascii="仿宋_GB2312" w:hAnsi="仿宋" w:eastAsia="仿宋_GB2312"/>
                <w:color w:val="FF0000"/>
              </w:rPr>
            </w:pPr>
            <w:r>
              <w:rPr>
                <w:rFonts w:hint="eastAsia" w:ascii="仿宋_GB2312" w:hAnsi="仿宋" w:eastAsia="仿宋_GB2312"/>
                <w:color w:val="FF0000"/>
                <w:lang w:val="en-US" w:eastAsia="zh-CN"/>
              </w:rPr>
              <w:t>5</w:t>
            </w:r>
            <w:r>
              <w:rPr>
                <w:rFonts w:hint="eastAsia" w:ascii="仿宋_GB2312" w:hAnsi="仿宋" w:eastAsia="仿宋_GB2312"/>
                <w:color w:val="FF0000"/>
              </w:rPr>
              <w:t>、其余人员。供应商承诺除上述人员外，在合同履行期间按照采购需求中明确的人员要求委派对应的服务人员。（供应商提供承诺函）</w:t>
            </w:r>
          </w:p>
          <w:p w14:paraId="1405BFEC">
            <w:pPr>
              <w:spacing w:line="300" w:lineRule="exact"/>
              <w:jc w:val="left"/>
              <w:rPr>
                <w:rFonts w:ascii="仿宋_GB2312" w:hAnsi="仿宋" w:eastAsia="仿宋_GB2312"/>
              </w:rPr>
            </w:pPr>
            <w:r>
              <w:rPr>
                <w:rFonts w:hint="eastAsia" w:ascii="仿宋_GB2312" w:hAnsi="仿宋" w:eastAsia="仿宋_GB2312"/>
                <w:color w:val="auto"/>
              </w:rPr>
              <w:t>备注:如磋商后技术要求有变动的，按磋商后确定的技术要求提供相应材料</w:t>
            </w:r>
          </w:p>
        </w:tc>
      </w:tr>
      <w:tr w14:paraId="4C1BB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44" w:type="pct"/>
            <w:vMerge w:val="continue"/>
            <w:vAlign w:val="center"/>
          </w:tcPr>
          <w:p w14:paraId="404CB259">
            <w:pPr>
              <w:spacing w:line="400" w:lineRule="exact"/>
              <w:jc w:val="center"/>
              <w:rPr>
                <w:rFonts w:ascii="仿宋_GB2312" w:hAnsi="仿宋" w:eastAsia="仿宋_GB2312"/>
              </w:rPr>
            </w:pPr>
          </w:p>
        </w:tc>
        <w:tc>
          <w:tcPr>
            <w:tcW w:w="658" w:type="pct"/>
            <w:gridSpan w:val="2"/>
            <w:vAlign w:val="center"/>
          </w:tcPr>
          <w:p w14:paraId="5962C9C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_GB2312" w:hAnsi="仿宋" w:eastAsia="仿宋_GB2312"/>
              </w:rPr>
            </w:pPr>
            <w:r>
              <w:rPr>
                <w:rFonts w:hint="eastAsia" w:ascii="仿宋_GB2312" w:hAnsi="仿宋" w:eastAsia="仿宋_GB2312"/>
              </w:rPr>
              <w:t>商务要求响应</w:t>
            </w:r>
          </w:p>
        </w:tc>
        <w:tc>
          <w:tcPr>
            <w:tcW w:w="3797" w:type="pct"/>
            <w:gridSpan w:val="2"/>
            <w:vAlign w:val="center"/>
          </w:tcPr>
          <w:p w14:paraId="3DE317FB">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仿宋_GB2312" w:hAnsi="仿宋" w:eastAsia="仿宋_GB2312"/>
              </w:rPr>
            </w:pPr>
            <w:r>
              <w:rPr>
                <w:rFonts w:hint="eastAsia" w:ascii="仿宋_GB2312" w:hAnsi="仿宋" w:eastAsia="仿宋_GB2312"/>
              </w:rPr>
              <w:t>如磋商后商务要求有变动的，按磋商后确定的商务要求提供相应材料</w:t>
            </w:r>
          </w:p>
        </w:tc>
      </w:tr>
      <w:tr w14:paraId="55D9B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544" w:type="pct"/>
            <w:vMerge w:val="continue"/>
            <w:vAlign w:val="center"/>
          </w:tcPr>
          <w:p w14:paraId="5F89420D">
            <w:pPr>
              <w:spacing w:line="400" w:lineRule="exact"/>
              <w:jc w:val="center"/>
              <w:rPr>
                <w:rFonts w:ascii="仿宋_GB2312" w:hAnsi="仿宋" w:eastAsia="仿宋_GB2312"/>
              </w:rPr>
            </w:pPr>
          </w:p>
        </w:tc>
        <w:tc>
          <w:tcPr>
            <w:tcW w:w="658" w:type="pct"/>
            <w:gridSpan w:val="2"/>
            <w:vAlign w:val="center"/>
          </w:tcPr>
          <w:p w14:paraId="2FB7E2D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仿宋_GB2312" w:hAnsi="仿宋" w:eastAsia="仿宋_GB2312"/>
              </w:rPr>
            </w:pPr>
            <w:r>
              <w:rPr>
                <w:rFonts w:hint="eastAsia" w:ascii="仿宋_GB2312" w:hAnsi="仿宋" w:eastAsia="仿宋_GB2312"/>
              </w:rPr>
              <w:t>合同草案条款响应</w:t>
            </w:r>
          </w:p>
        </w:tc>
        <w:tc>
          <w:tcPr>
            <w:tcW w:w="3797" w:type="pct"/>
            <w:gridSpan w:val="2"/>
            <w:vAlign w:val="center"/>
          </w:tcPr>
          <w:p w14:paraId="3C85033B">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仿宋_GB2312" w:hAnsi="仿宋" w:eastAsia="仿宋_GB2312"/>
              </w:rPr>
            </w:pPr>
            <w:r>
              <w:rPr>
                <w:rFonts w:hint="eastAsia" w:ascii="仿宋_GB2312" w:hAnsi="仿宋" w:eastAsia="仿宋_GB2312"/>
              </w:rPr>
              <w:t>如磋商后合同草案条款有变动的，按磋商后确定的合同草案条款响应</w:t>
            </w:r>
          </w:p>
        </w:tc>
      </w:tr>
      <w:tr w14:paraId="631E8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5000" w:type="pct"/>
            <w:gridSpan w:val="5"/>
            <w:vAlign w:val="center"/>
          </w:tcPr>
          <w:p w14:paraId="1BF6B8DC">
            <w:pPr>
              <w:spacing w:line="400" w:lineRule="exact"/>
              <w:jc w:val="center"/>
              <w:rPr>
                <w:rFonts w:ascii="仿宋_GB2312" w:hAnsi="仿宋" w:eastAsia="仿宋_GB2312"/>
                <w:b/>
              </w:rPr>
            </w:pPr>
            <w:r>
              <w:rPr>
                <w:rFonts w:hint="eastAsia" w:ascii="仿宋_GB2312" w:hAnsi="仿宋" w:eastAsia="仿宋_GB2312"/>
                <w:b/>
              </w:rPr>
              <w:t>响应文件不符合评审标准之一的，评审结论为不合格。</w:t>
            </w:r>
          </w:p>
        </w:tc>
      </w:tr>
      <w:tr w14:paraId="50796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5000" w:type="pct"/>
            <w:gridSpan w:val="5"/>
            <w:vAlign w:val="center"/>
          </w:tcPr>
          <w:p w14:paraId="24C9100C">
            <w:pPr>
              <w:spacing w:line="400" w:lineRule="exact"/>
              <w:jc w:val="center"/>
              <w:rPr>
                <w:rFonts w:ascii="仿宋_GB2312" w:hAnsi="仿宋" w:eastAsia="仿宋_GB2312"/>
                <w:b/>
              </w:rPr>
            </w:pPr>
            <w:r>
              <w:rPr>
                <w:rFonts w:hint="eastAsia" w:ascii="仿宋_GB2312" w:hAnsi="仿宋" w:eastAsia="仿宋_GB2312"/>
                <w:b/>
              </w:rPr>
              <w:t>5.2详细评审</w:t>
            </w:r>
          </w:p>
        </w:tc>
      </w:tr>
      <w:tr w14:paraId="6B9FE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44" w:type="pct"/>
            <w:shd w:val="clear" w:color="auto" w:fill="auto"/>
            <w:vAlign w:val="center"/>
          </w:tcPr>
          <w:p w14:paraId="5C5F8F3A">
            <w:pPr>
              <w:spacing w:line="400" w:lineRule="exact"/>
              <w:jc w:val="center"/>
              <w:rPr>
                <w:rFonts w:ascii="仿宋" w:hAnsi="仿宋" w:eastAsia="仿宋" w:cs="仿宋"/>
              </w:rPr>
            </w:pPr>
            <w:r>
              <w:rPr>
                <w:rFonts w:hint="eastAsia" w:ascii="仿宋_GB2312" w:hAnsi="仿宋" w:eastAsia="仿宋_GB2312"/>
                <w:spacing w:val="-20"/>
                <w:sz w:val="24"/>
              </w:rPr>
              <w:t>评审因素</w:t>
            </w:r>
          </w:p>
        </w:tc>
        <w:tc>
          <w:tcPr>
            <w:tcW w:w="4455" w:type="pct"/>
            <w:gridSpan w:val="4"/>
            <w:shd w:val="clear" w:color="auto" w:fill="auto"/>
            <w:vAlign w:val="center"/>
          </w:tcPr>
          <w:p w14:paraId="59068EC4">
            <w:pPr>
              <w:widowControl/>
              <w:spacing w:line="240" w:lineRule="exact"/>
              <w:jc w:val="center"/>
              <w:rPr>
                <w:rFonts w:ascii="仿宋" w:hAnsi="仿宋" w:eastAsia="仿宋" w:cs="仿宋"/>
              </w:rPr>
            </w:pPr>
            <w:r>
              <w:rPr>
                <w:rFonts w:hint="eastAsia" w:ascii="仿宋" w:hAnsi="仿宋" w:eastAsia="仿宋" w:cs="仿宋"/>
                <w:b/>
                <w:bCs/>
              </w:rPr>
              <w:t>评审内容及标准</w:t>
            </w:r>
          </w:p>
        </w:tc>
      </w:tr>
      <w:tr w14:paraId="3EC93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5000" w:type="pct"/>
            <w:gridSpan w:val="5"/>
            <w:shd w:val="clear" w:color="auto" w:fill="auto"/>
            <w:vAlign w:val="center"/>
          </w:tcPr>
          <w:p w14:paraId="709C7F36">
            <w:pPr>
              <w:widowControl/>
              <w:spacing w:line="240" w:lineRule="exact"/>
              <w:jc w:val="center"/>
              <w:rPr>
                <w:rFonts w:ascii="仿宋" w:hAnsi="仿宋" w:eastAsia="仿宋" w:cs="仿宋"/>
              </w:rPr>
            </w:pPr>
            <w:r>
              <w:rPr>
                <w:b/>
                <w:sz w:val="21"/>
              </w:rPr>
              <w:t>一、报价评审（</w:t>
            </w:r>
            <w:r>
              <w:rPr>
                <w:rFonts w:hint="eastAsia"/>
                <w:b/>
                <w:sz w:val="21"/>
                <w:lang w:val="en-US" w:eastAsia="zh-CN"/>
              </w:rPr>
              <w:t>25</w:t>
            </w:r>
            <w:r>
              <w:rPr>
                <w:b/>
                <w:sz w:val="21"/>
              </w:rPr>
              <w:t>分）</w:t>
            </w:r>
          </w:p>
        </w:tc>
      </w:tr>
      <w:tr w14:paraId="77286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4" w:type="pct"/>
            <w:shd w:val="clear" w:color="auto" w:fill="auto"/>
            <w:vAlign w:val="center"/>
          </w:tcPr>
          <w:p w14:paraId="484CE2C3">
            <w:pPr>
              <w:pStyle w:val="211"/>
              <w:spacing w:before="0" w:line="320" w:lineRule="exact"/>
              <w:ind w:right="-10" w:rightChars="0"/>
              <w:jc w:val="center"/>
              <w:rPr>
                <w:rFonts w:ascii="仿宋" w:hAnsi="仿宋" w:eastAsia="仿宋" w:cs="仿宋"/>
              </w:rPr>
            </w:pPr>
            <w:r>
              <w:rPr>
                <w:rFonts w:hint="eastAsia" w:ascii="仿宋_GB2312" w:hAnsi="仿宋" w:eastAsia="仿宋_GB2312" w:cs="Times New Roman"/>
                <w:bCs w:val="0"/>
                <w:color w:val="auto"/>
                <w:spacing w:val="0"/>
                <w:sz w:val="24"/>
                <w:szCs w:val="24"/>
                <w:lang w:eastAsia="zh-CN"/>
              </w:rPr>
              <w:t>报价评审（2</w:t>
            </w:r>
            <w:r>
              <w:rPr>
                <w:rFonts w:hint="eastAsia" w:ascii="仿宋_GB2312" w:hAnsi="仿宋" w:eastAsia="仿宋_GB2312" w:cs="Times New Roman"/>
                <w:bCs w:val="0"/>
                <w:color w:val="auto"/>
                <w:spacing w:val="0"/>
                <w:sz w:val="24"/>
                <w:szCs w:val="24"/>
                <w:lang w:val="en-US" w:eastAsia="zh-CN"/>
              </w:rPr>
              <w:t>5</w:t>
            </w:r>
            <w:r>
              <w:rPr>
                <w:rFonts w:hint="eastAsia" w:ascii="仿宋_GB2312" w:hAnsi="仿宋" w:eastAsia="仿宋_GB2312" w:cs="Times New Roman"/>
                <w:bCs w:val="0"/>
                <w:color w:val="auto"/>
                <w:spacing w:val="0"/>
                <w:sz w:val="24"/>
                <w:szCs w:val="24"/>
                <w:lang w:eastAsia="zh-CN"/>
              </w:rPr>
              <w:t>分）</w:t>
            </w:r>
          </w:p>
        </w:tc>
        <w:tc>
          <w:tcPr>
            <w:tcW w:w="4455" w:type="pct"/>
            <w:gridSpan w:val="4"/>
            <w:shd w:val="clear" w:color="auto" w:fill="auto"/>
            <w:vAlign w:val="center"/>
          </w:tcPr>
          <w:p w14:paraId="5BEB910C">
            <w:pPr>
              <w:widowControl/>
              <w:spacing w:line="320" w:lineRule="exact"/>
              <w:rPr>
                <w:rFonts w:ascii="仿宋" w:hAnsi="仿宋" w:eastAsia="仿宋" w:cs="仿宋"/>
                <w:bCs/>
                <w:color w:val="000000"/>
                <w:spacing w:val="6"/>
              </w:rPr>
            </w:pPr>
            <w:r>
              <w:rPr>
                <w:rFonts w:hint="eastAsia" w:ascii="仿宋_GB2312" w:hAnsi="仿宋" w:eastAsia="仿宋_GB2312" w:cs="Times New Roman"/>
                <w:bCs w:val="0"/>
                <w:color w:val="auto"/>
                <w:spacing w:val="0"/>
                <w:sz w:val="24"/>
                <w:szCs w:val="24"/>
                <w:lang w:eastAsia="zh-CN"/>
              </w:rPr>
              <w:t>资格审查和响应性评审合格且投标价格最低为评标基准价，其价格分为2</w:t>
            </w:r>
            <w:r>
              <w:rPr>
                <w:rFonts w:hint="eastAsia" w:ascii="仿宋_GB2312" w:hAnsi="仿宋" w:eastAsia="仿宋_GB2312" w:cs="Times New Roman"/>
                <w:bCs w:val="0"/>
                <w:color w:val="auto"/>
                <w:spacing w:val="0"/>
                <w:sz w:val="24"/>
                <w:szCs w:val="24"/>
                <w:lang w:val="en-US" w:eastAsia="zh-CN"/>
              </w:rPr>
              <w:t>5</w:t>
            </w:r>
            <w:r>
              <w:rPr>
                <w:rFonts w:hint="eastAsia" w:ascii="仿宋_GB2312" w:hAnsi="仿宋" w:eastAsia="仿宋_GB2312" w:cs="Times New Roman"/>
                <w:bCs w:val="0"/>
                <w:color w:val="auto"/>
                <w:spacing w:val="0"/>
                <w:sz w:val="24"/>
                <w:szCs w:val="24"/>
                <w:lang w:eastAsia="zh-CN"/>
              </w:rPr>
              <w:t>分。其他投标人的价格分按照下列公式计算（小数点保留两位）：投标报价得分=（评标基准价／投标报价）×2</w:t>
            </w:r>
            <w:r>
              <w:rPr>
                <w:rFonts w:hint="eastAsia" w:ascii="仿宋_GB2312" w:hAnsi="仿宋" w:eastAsia="仿宋_GB2312" w:cs="Times New Roman"/>
                <w:bCs w:val="0"/>
                <w:color w:val="auto"/>
                <w:spacing w:val="0"/>
                <w:sz w:val="24"/>
                <w:szCs w:val="24"/>
                <w:lang w:val="en-US" w:eastAsia="zh-CN"/>
              </w:rPr>
              <w:t>5</w:t>
            </w:r>
            <w:r>
              <w:rPr>
                <w:rFonts w:hint="eastAsia" w:ascii="仿宋_GB2312" w:hAnsi="仿宋" w:eastAsia="仿宋_GB2312" w:cs="Times New Roman"/>
                <w:bCs w:val="0"/>
                <w:color w:val="auto"/>
                <w:spacing w:val="0"/>
                <w:sz w:val="24"/>
                <w:szCs w:val="24"/>
                <w:lang w:eastAsia="zh-CN"/>
              </w:rPr>
              <w:t>分（保留两位小数）。</w:t>
            </w:r>
          </w:p>
        </w:tc>
      </w:tr>
      <w:tr w14:paraId="7C8DA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5000" w:type="pct"/>
            <w:gridSpan w:val="5"/>
            <w:shd w:val="clear" w:color="auto" w:fill="auto"/>
            <w:vAlign w:val="center"/>
          </w:tcPr>
          <w:p w14:paraId="6370E1A7">
            <w:pPr>
              <w:pStyle w:val="211"/>
              <w:spacing w:before="0" w:line="320" w:lineRule="exact"/>
              <w:rPr>
                <w:rFonts w:ascii="仿宋" w:hAnsi="仿宋" w:eastAsia="仿宋" w:cs="仿宋"/>
                <w:b/>
                <w:color w:val="auto"/>
                <w:sz w:val="24"/>
                <w:szCs w:val="24"/>
                <w:lang w:eastAsia="zh-CN"/>
              </w:rPr>
            </w:pPr>
            <w:r>
              <w:rPr>
                <w:b/>
                <w:color w:val="auto"/>
                <w:sz w:val="21"/>
              </w:rPr>
              <w:t>二、商务评审（</w:t>
            </w:r>
            <w:r>
              <w:rPr>
                <w:rFonts w:hint="eastAsia" w:ascii="Times New Roman"/>
                <w:b/>
                <w:color w:val="auto"/>
                <w:sz w:val="21"/>
                <w:lang w:val="en-US" w:eastAsia="zh-CN"/>
              </w:rPr>
              <w:t>29</w:t>
            </w:r>
            <w:r>
              <w:rPr>
                <w:b/>
                <w:color w:val="auto"/>
                <w:sz w:val="21"/>
              </w:rPr>
              <w:t>分）</w:t>
            </w:r>
          </w:p>
        </w:tc>
      </w:tr>
      <w:tr w14:paraId="54639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jc w:val="center"/>
        </w:trPr>
        <w:tc>
          <w:tcPr>
            <w:tcW w:w="544" w:type="pct"/>
            <w:shd w:val="clear" w:color="auto" w:fill="auto"/>
            <w:vAlign w:val="center"/>
          </w:tcPr>
          <w:p w14:paraId="5BB35BF8">
            <w:pPr>
              <w:pStyle w:val="211"/>
              <w:spacing w:before="0" w:line="320" w:lineRule="exact"/>
              <w:ind w:right="-10" w:rightChars="0"/>
              <w:jc w:val="center"/>
              <w:rPr>
                <w:rFonts w:ascii="仿宋" w:hAnsi="仿宋" w:eastAsia="仿宋" w:cs="仿宋"/>
              </w:rPr>
            </w:pPr>
            <w:r>
              <w:rPr>
                <w:rFonts w:hint="eastAsia" w:ascii="仿宋_GB2312" w:hAnsi="仿宋" w:eastAsia="仿宋_GB2312" w:cs="Times New Roman"/>
                <w:bCs w:val="0"/>
                <w:color w:val="auto"/>
                <w:spacing w:val="0"/>
                <w:sz w:val="24"/>
                <w:szCs w:val="24"/>
                <w:lang w:eastAsia="zh-CN"/>
              </w:rPr>
              <w:t>企业</w:t>
            </w:r>
            <w:r>
              <w:rPr>
                <w:rFonts w:hint="eastAsia" w:ascii="仿宋_GB2312" w:hAnsi="仿宋" w:eastAsia="仿宋_GB2312" w:cs="Times New Roman"/>
                <w:bCs w:val="0"/>
                <w:color w:val="auto"/>
                <w:spacing w:val="0"/>
                <w:sz w:val="24"/>
                <w:szCs w:val="24"/>
                <w:lang w:val="en-US" w:eastAsia="zh-CN"/>
              </w:rPr>
              <w:t>实力（9分）</w:t>
            </w:r>
          </w:p>
        </w:tc>
        <w:tc>
          <w:tcPr>
            <w:tcW w:w="4455" w:type="pct"/>
            <w:gridSpan w:val="4"/>
            <w:shd w:val="clear" w:color="auto" w:fill="auto"/>
            <w:vAlign w:val="center"/>
          </w:tcPr>
          <w:p w14:paraId="0ADC2A3D">
            <w:pPr>
              <w:pStyle w:val="211"/>
              <w:spacing w:before="0" w:line="320" w:lineRule="exact"/>
              <w:jc w:val="both"/>
              <w:rPr>
                <w:rFonts w:hint="eastAsia" w:ascii="仿宋_GB2312" w:hAnsi="仿宋" w:eastAsia="仿宋_GB2312" w:cs="Times New Roman"/>
                <w:bCs w:val="0"/>
                <w:color w:val="auto"/>
                <w:spacing w:val="0"/>
                <w:sz w:val="24"/>
                <w:szCs w:val="24"/>
                <w:lang w:eastAsia="zh-CN"/>
              </w:rPr>
            </w:pPr>
            <w:r>
              <w:rPr>
                <w:rFonts w:hint="eastAsia" w:ascii="仿宋_GB2312" w:hAnsi="仿宋" w:eastAsia="仿宋_GB2312" w:cs="Times New Roman"/>
                <w:bCs w:val="0"/>
                <w:color w:val="auto"/>
                <w:spacing w:val="0"/>
                <w:sz w:val="24"/>
                <w:szCs w:val="24"/>
                <w:lang w:val="en-US" w:eastAsia="zh-CN"/>
              </w:rPr>
              <w:t>1、</w:t>
            </w:r>
            <w:r>
              <w:rPr>
                <w:rFonts w:hint="eastAsia" w:ascii="仿宋_GB2312" w:hAnsi="仿宋" w:eastAsia="仿宋_GB2312" w:cs="Times New Roman"/>
                <w:bCs w:val="0"/>
                <w:color w:val="auto"/>
                <w:spacing w:val="0"/>
                <w:sz w:val="24"/>
                <w:szCs w:val="24"/>
                <w:lang w:eastAsia="zh-CN"/>
              </w:rPr>
              <w:t>投标人通过质量管理体系认证，且在有效期内，得</w:t>
            </w:r>
            <w:r>
              <w:rPr>
                <w:rFonts w:hint="eastAsia" w:ascii="仿宋_GB2312" w:hAnsi="仿宋" w:eastAsia="仿宋_GB2312" w:cs="Times New Roman"/>
                <w:bCs w:val="0"/>
                <w:color w:val="auto"/>
                <w:spacing w:val="0"/>
                <w:sz w:val="24"/>
                <w:szCs w:val="24"/>
                <w:lang w:val="en-US" w:eastAsia="zh-CN"/>
              </w:rPr>
              <w:t>3</w:t>
            </w:r>
            <w:r>
              <w:rPr>
                <w:rFonts w:hint="eastAsia" w:ascii="仿宋_GB2312" w:hAnsi="仿宋" w:eastAsia="仿宋_GB2312" w:cs="Times New Roman"/>
                <w:bCs w:val="0"/>
                <w:color w:val="auto"/>
                <w:spacing w:val="0"/>
                <w:sz w:val="24"/>
                <w:szCs w:val="24"/>
                <w:lang w:eastAsia="zh-CN"/>
              </w:rPr>
              <w:t>分；</w:t>
            </w:r>
          </w:p>
          <w:p w14:paraId="3B4D2447">
            <w:pPr>
              <w:pStyle w:val="211"/>
              <w:spacing w:before="0" w:line="320" w:lineRule="exact"/>
              <w:jc w:val="both"/>
              <w:rPr>
                <w:rFonts w:hint="eastAsia" w:ascii="仿宋_GB2312" w:hAnsi="仿宋" w:eastAsia="仿宋_GB2312" w:cs="Times New Roman"/>
                <w:bCs w:val="0"/>
                <w:color w:val="auto"/>
                <w:spacing w:val="0"/>
                <w:sz w:val="24"/>
                <w:szCs w:val="24"/>
                <w:lang w:eastAsia="zh-CN"/>
              </w:rPr>
            </w:pPr>
            <w:r>
              <w:rPr>
                <w:rFonts w:hint="eastAsia" w:ascii="仿宋_GB2312" w:hAnsi="仿宋" w:eastAsia="仿宋_GB2312" w:cs="Times New Roman"/>
                <w:bCs w:val="0"/>
                <w:color w:val="auto"/>
                <w:spacing w:val="0"/>
                <w:sz w:val="24"/>
                <w:szCs w:val="24"/>
                <w:lang w:val="en-US" w:eastAsia="zh-CN"/>
              </w:rPr>
              <w:t>2、</w:t>
            </w:r>
            <w:r>
              <w:rPr>
                <w:rFonts w:hint="eastAsia" w:ascii="仿宋_GB2312" w:hAnsi="仿宋" w:eastAsia="仿宋_GB2312" w:cs="Times New Roman"/>
                <w:bCs w:val="0"/>
                <w:color w:val="auto"/>
                <w:spacing w:val="0"/>
                <w:sz w:val="24"/>
                <w:szCs w:val="24"/>
                <w:lang w:eastAsia="zh-CN"/>
              </w:rPr>
              <w:t>投标人通过环境管理体系认证，且在有效期内，得</w:t>
            </w:r>
            <w:r>
              <w:rPr>
                <w:rFonts w:hint="eastAsia" w:ascii="仿宋_GB2312" w:hAnsi="仿宋" w:eastAsia="仿宋_GB2312" w:cs="Times New Roman"/>
                <w:bCs w:val="0"/>
                <w:color w:val="auto"/>
                <w:spacing w:val="0"/>
                <w:sz w:val="24"/>
                <w:szCs w:val="24"/>
                <w:lang w:val="en-US" w:eastAsia="zh-CN"/>
              </w:rPr>
              <w:t>3</w:t>
            </w:r>
            <w:r>
              <w:rPr>
                <w:rFonts w:hint="eastAsia" w:ascii="仿宋_GB2312" w:hAnsi="仿宋" w:eastAsia="仿宋_GB2312" w:cs="Times New Roman"/>
                <w:bCs w:val="0"/>
                <w:color w:val="auto"/>
                <w:spacing w:val="0"/>
                <w:sz w:val="24"/>
                <w:szCs w:val="24"/>
                <w:lang w:eastAsia="zh-CN"/>
              </w:rPr>
              <w:t>分；</w:t>
            </w:r>
          </w:p>
          <w:p w14:paraId="19758186">
            <w:pPr>
              <w:pStyle w:val="211"/>
              <w:spacing w:before="0" w:line="320" w:lineRule="exact"/>
              <w:jc w:val="both"/>
              <w:rPr>
                <w:rFonts w:hint="eastAsia" w:ascii="仿宋_GB2312" w:hAnsi="仿宋" w:eastAsia="仿宋_GB2312" w:cs="Times New Roman"/>
                <w:bCs w:val="0"/>
                <w:color w:val="auto"/>
                <w:spacing w:val="0"/>
                <w:sz w:val="24"/>
                <w:szCs w:val="24"/>
                <w:lang w:eastAsia="zh-CN"/>
              </w:rPr>
            </w:pPr>
            <w:r>
              <w:rPr>
                <w:rFonts w:hint="eastAsia" w:ascii="仿宋_GB2312" w:hAnsi="仿宋" w:eastAsia="仿宋_GB2312" w:cs="Times New Roman"/>
                <w:bCs w:val="0"/>
                <w:color w:val="auto"/>
                <w:spacing w:val="0"/>
                <w:sz w:val="24"/>
                <w:szCs w:val="24"/>
                <w:lang w:val="en-US" w:eastAsia="zh-CN"/>
              </w:rPr>
              <w:t>3、</w:t>
            </w:r>
            <w:r>
              <w:rPr>
                <w:rFonts w:hint="eastAsia" w:ascii="仿宋_GB2312" w:hAnsi="仿宋" w:eastAsia="仿宋_GB2312" w:cs="Times New Roman"/>
                <w:bCs w:val="0"/>
                <w:color w:val="auto"/>
                <w:spacing w:val="0"/>
                <w:sz w:val="24"/>
                <w:szCs w:val="24"/>
                <w:lang w:eastAsia="zh-CN"/>
              </w:rPr>
              <w:t>投标人通过职业健康安全管理体系认证的，且在有效期内，得</w:t>
            </w:r>
            <w:r>
              <w:rPr>
                <w:rFonts w:hint="eastAsia" w:ascii="仿宋_GB2312" w:hAnsi="仿宋" w:eastAsia="仿宋_GB2312" w:cs="Times New Roman"/>
                <w:bCs w:val="0"/>
                <w:color w:val="auto"/>
                <w:spacing w:val="0"/>
                <w:sz w:val="24"/>
                <w:szCs w:val="24"/>
                <w:lang w:val="en-US" w:eastAsia="zh-CN"/>
              </w:rPr>
              <w:t>3</w:t>
            </w:r>
            <w:r>
              <w:rPr>
                <w:rFonts w:hint="eastAsia" w:ascii="仿宋_GB2312" w:hAnsi="仿宋" w:eastAsia="仿宋_GB2312" w:cs="Times New Roman"/>
                <w:bCs w:val="0"/>
                <w:color w:val="auto"/>
                <w:spacing w:val="0"/>
                <w:sz w:val="24"/>
                <w:szCs w:val="24"/>
                <w:lang w:eastAsia="zh-CN"/>
              </w:rPr>
              <w:t>分；</w:t>
            </w:r>
          </w:p>
          <w:p w14:paraId="4BF6C154">
            <w:pPr>
              <w:pStyle w:val="211"/>
              <w:spacing w:before="0" w:line="320" w:lineRule="exact"/>
              <w:jc w:val="both"/>
              <w:rPr>
                <w:rFonts w:ascii="仿宋" w:hAnsi="仿宋" w:eastAsia="仿宋" w:cs="仿宋"/>
                <w:b/>
                <w:bCs/>
                <w:sz w:val="24"/>
                <w:szCs w:val="24"/>
              </w:rPr>
            </w:pPr>
            <w:r>
              <w:rPr>
                <w:rFonts w:hint="eastAsia" w:ascii="仿宋_GB2312" w:hAnsi="仿宋" w:eastAsia="仿宋_GB2312" w:cs="Times New Roman"/>
                <w:b/>
                <w:bCs/>
                <w:color w:val="auto"/>
                <w:spacing w:val="0"/>
                <w:sz w:val="24"/>
                <w:szCs w:val="24"/>
                <w:lang w:val="en-US" w:eastAsia="zh-CN"/>
              </w:rPr>
              <w:t>【提供全国认证认可信息公共服务平台查询的截图，认证证书在有效期内且认证范围包含物业。】</w:t>
            </w:r>
          </w:p>
        </w:tc>
      </w:tr>
      <w:tr w14:paraId="08BEF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544" w:type="pct"/>
            <w:shd w:val="clear" w:color="auto" w:fill="auto"/>
            <w:vAlign w:val="center"/>
          </w:tcPr>
          <w:p w14:paraId="5651A9F3">
            <w:pPr>
              <w:pStyle w:val="211"/>
              <w:spacing w:before="0" w:line="320" w:lineRule="exact"/>
              <w:ind w:right="-10" w:rightChars="0"/>
              <w:jc w:val="center"/>
              <w:rPr>
                <w:rFonts w:hint="eastAsia" w:ascii="仿宋_GB2312" w:hAnsi="仿宋" w:eastAsia="仿宋_GB2312" w:cs="Times New Roman"/>
                <w:bCs w:val="0"/>
                <w:color w:val="auto"/>
                <w:spacing w:val="0"/>
                <w:sz w:val="24"/>
                <w:szCs w:val="24"/>
                <w:lang w:eastAsia="zh-CN"/>
              </w:rPr>
            </w:pPr>
            <w:r>
              <w:rPr>
                <w:rFonts w:hint="eastAsia" w:ascii="仿宋_GB2312" w:hAnsi="仿宋" w:eastAsia="仿宋_GB2312" w:cs="Times New Roman"/>
                <w:bCs w:val="0"/>
                <w:color w:val="auto"/>
                <w:spacing w:val="0"/>
                <w:sz w:val="24"/>
                <w:szCs w:val="24"/>
                <w:lang w:eastAsia="zh-CN"/>
              </w:rPr>
              <w:t>企业荣誉（</w:t>
            </w:r>
            <w:r>
              <w:rPr>
                <w:rFonts w:hint="eastAsia" w:ascii="仿宋_GB2312" w:hAnsi="仿宋" w:eastAsia="仿宋_GB2312" w:cs="Times New Roman"/>
                <w:bCs w:val="0"/>
                <w:color w:val="auto"/>
                <w:spacing w:val="0"/>
                <w:sz w:val="24"/>
                <w:szCs w:val="24"/>
                <w:lang w:val="en-US" w:eastAsia="zh-CN"/>
              </w:rPr>
              <w:t>8</w:t>
            </w:r>
            <w:r>
              <w:rPr>
                <w:rFonts w:hint="eastAsia" w:ascii="仿宋_GB2312" w:hAnsi="仿宋" w:eastAsia="仿宋_GB2312" w:cs="Times New Roman"/>
                <w:bCs w:val="0"/>
                <w:color w:val="auto"/>
                <w:spacing w:val="0"/>
                <w:sz w:val="24"/>
                <w:szCs w:val="24"/>
                <w:lang w:eastAsia="zh-CN"/>
              </w:rPr>
              <w:t>分）</w:t>
            </w:r>
          </w:p>
        </w:tc>
        <w:tc>
          <w:tcPr>
            <w:tcW w:w="4455" w:type="pct"/>
            <w:gridSpan w:val="4"/>
            <w:shd w:val="clear" w:color="auto" w:fill="auto"/>
            <w:vAlign w:val="center"/>
          </w:tcPr>
          <w:p w14:paraId="07397EC2">
            <w:pPr>
              <w:pStyle w:val="211"/>
              <w:spacing w:before="0" w:line="320" w:lineRule="exact"/>
              <w:jc w:val="both"/>
              <w:rPr>
                <w:rFonts w:hint="default" w:ascii="仿宋_GB2312" w:hAnsi="仿宋" w:eastAsia="仿宋_GB2312" w:cs="Times New Roman"/>
                <w:b/>
                <w:bCs/>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2021年以来（时间以发文日期为准），获得区县级及以上行政主管部门颁发的物业服务管理相关荣誉的提供一项得2分，本项最高得8分。（提供相关复印件，无则不得分）</w:t>
            </w:r>
          </w:p>
        </w:tc>
      </w:tr>
      <w:tr w14:paraId="41290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544" w:type="pct"/>
            <w:shd w:val="clear" w:color="auto" w:fill="auto"/>
            <w:vAlign w:val="center"/>
          </w:tcPr>
          <w:p w14:paraId="5B13819F">
            <w:pPr>
              <w:pStyle w:val="211"/>
              <w:spacing w:before="0" w:line="320" w:lineRule="exact"/>
              <w:ind w:right="-10" w:rightChars="0"/>
              <w:jc w:val="center"/>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企业业绩（12分）</w:t>
            </w:r>
          </w:p>
        </w:tc>
        <w:tc>
          <w:tcPr>
            <w:tcW w:w="4455" w:type="pct"/>
            <w:gridSpan w:val="4"/>
            <w:shd w:val="clear" w:color="auto" w:fill="auto"/>
            <w:vAlign w:val="center"/>
          </w:tcPr>
          <w:p w14:paraId="16608F19">
            <w:pPr>
              <w:pStyle w:val="211"/>
              <w:spacing w:before="0" w:line="320" w:lineRule="exact"/>
              <w:jc w:val="both"/>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2021年1月1日以来，供应商承接过类似本项目非住宅的物业管理服务业绩，每有一个得3分，本项最多得12分。</w:t>
            </w:r>
          </w:p>
          <w:p w14:paraId="115E7FDC">
            <w:pPr>
              <w:pStyle w:val="211"/>
              <w:spacing w:before="0" w:line="320" w:lineRule="exact"/>
              <w:jc w:val="both"/>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单个物业服务合同内至少包含保洁、保安、水电维修服务三项物业服务，否则不计分值。须提供的证明资料：</w:t>
            </w:r>
          </w:p>
          <w:p w14:paraId="715BE33A">
            <w:pPr>
              <w:pStyle w:val="211"/>
              <w:spacing w:before="0" w:line="320" w:lineRule="exact"/>
              <w:jc w:val="both"/>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（1）供应商与业主单位签订的物业服务合同复印件；</w:t>
            </w:r>
          </w:p>
          <w:p w14:paraId="6D290CC6">
            <w:pPr>
              <w:pStyle w:val="211"/>
              <w:spacing w:before="0" w:line="320" w:lineRule="exact"/>
              <w:jc w:val="both"/>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（2）提供合同期内任意一期价款支付证明和发票。</w:t>
            </w:r>
          </w:p>
          <w:p w14:paraId="5ADBE690">
            <w:pPr>
              <w:pStyle w:val="211"/>
              <w:spacing w:before="0" w:line="320" w:lineRule="exact"/>
              <w:jc w:val="both"/>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
                <w:bCs/>
                <w:color w:val="auto"/>
                <w:spacing w:val="0"/>
                <w:sz w:val="24"/>
                <w:szCs w:val="24"/>
                <w:lang w:val="en-US" w:eastAsia="zh-CN"/>
              </w:rPr>
              <w:t>【需提供以上证明材料复印件加盖供应商公章，上述二项证明资料必须同时提供，缺一不可，仅提供证明资料之一的不计分值。签订合同前，采购人有权核查相关证明材料原件】</w:t>
            </w:r>
          </w:p>
        </w:tc>
      </w:tr>
      <w:tr w14:paraId="77940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000" w:type="pct"/>
            <w:gridSpan w:val="5"/>
            <w:shd w:val="clear" w:color="auto" w:fill="auto"/>
            <w:vAlign w:val="center"/>
          </w:tcPr>
          <w:p w14:paraId="5EBF9A6C">
            <w:pPr>
              <w:pStyle w:val="211"/>
              <w:spacing w:before="0" w:line="320" w:lineRule="exact"/>
              <w:rPr>
                <w:rFonts w:ascii="仿宋" w:hAnsi="仿宋" w:eastAsia="仿宋" w:cs="仿宋"/>
                <w:b/>
                <w:color w:val="auto"/>
                <w:sz w:val="24"/>
                <w:szCs w:val="24"/>
                <w:lang w:eastAsia="zh-CN"/>
              </w:rPr>
            </w:pPr>
            <w:r>
              <w:rPr>
                <w:b/>
                <w:color w:val="auto"/>
                <w:sz w:val="21"/>
              </w:rPr>
              <w:t>三、技术评审（</w:t>
            </w:r>
            <w:r>
              <w:rPr>
                <w:rFonts w:hint="eastAsia" w:ascii="Times New Roman"/>
                <w:b/>
                <w:color w:val="auto"/>
                <w:sz w:val="21"/>
                <w:lang w:val="en-US" w:eastAsia="zh-CN"/>
              </w:rPr>
              <w:t>46</w:t>
            </w:r>
            <w:r>
              <w:rPr>
                <w:b/>
                <w:color w:val="auto"/>
                <w:sz w:val="21"/>
              </w:rPr>
              <w:t>分）</w:t>
            </w:r>
          </w:p>
        </w:tc>
      </w:tr>
      <w:tr w14:paraId="07AB7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744" w:type="pct"/>
            <w:gridSpan w:val="2"/>
            <w:shd w:val="clear" w:color="auto" w:fill="auto"/>
            <w:vAlign w:val="center"/>
          </w:tcPr>
          <w:p w14:paraId="04500B5A">
            <w:pPr>
              <w:pStyle w:val="227"/>
              <w:spacing w:line="320" w:lineRule="exact"/>
              <w:jc w:val="center"/>
              <w:rPr>
                <w:rFonts w:hint="eastAsia" w:ascii="宋体" w:hAnsi="宋体" w:eastAsia="宋体" w:cs="宋体"/>
                <w:b/>
                <w:sz w:val="21"/>
                <w:szCs w:val="22"/>
                <w:lang w:val="en-US" w:eastAsia="zh-CN" w:bidi="zh-CN"/>
              </w:rPr>
            </w:pPr>
            <w:r>
              <w:rPr>
                <w:rFonts w:hint="eastAsia"/>
                <w:b/>
                <w:sz w:val="21"/>
                <w:lang w:val="en-US"/>
              </w:rPr>
              <w:t>管理制度和工作计划（6分）</w:t>
            </w:r>
          </w:p>
        </w:tc>
        <w:tc>
          <w:tcPr>
            <w:tcW w:w="4255" w:type="pct"/>
            <w:gridSpan w:val="3"/>
            <w:shd w:val="clear" w:color="auto" w:fill="auto"/>
            <w:vAlign w:val="center"/>
          </w:tcPr>
          <w:p w14:paraId="0DD035C5">
            <w:pPr>
              <w:spacing w:line="300" w:lineRule="exact"/>
              <w:jc w:val="left"/>
              <w:rPr>
                <w:rFonts w:hint="eastAsia" w:ascii="仿宋_GB2312" w:hAnsi="仿宋" w:eastAsia="仿宋_GB2312" w:cs="Times New Roman"/>
                <w:sz w:val="24"/>
                <w:szCs w:val="24"/>
                <w:lang w:val="en-US" w:eastAsia="zh-CN" w:bidi="ar-SA"/>
              </w:rPr>
            </w:pPr>
            <w:r>
              <w:rPr>
                <w:rFonts w:ascii="仿宋_GB2312" w:hAnsi="仿宋" w:eastAsia="仿宋_GB2312"/>
              </w:rPr>
              <w:t>有完善的组织架构、作业流程</w:t>
            </w:r>
            <w:r>
              <w:rPr>
                <w:rFonts w:hint="eastAsia" w:ascii="仿宋_GB2312" w:hAnsi="仿宋" w:eastAsia="仿宋_GB2312"/>
              </w:rPr>
              <w:t>图</w:t>
            </w:r>
            <w:r>
              <w:rPr>
                <w:rFonts w:ascii="仿宋_GB2312" w:hAnsi="仿宋" w:eastAsia="仿宋_GB2312"/>
              </w:rPr>
              <w:t>、管理运作机制，工作计划、管理指标承诺等</w:t>
            </w:r>
            <w:r>
              <w:rPr>
                <w:rFonts w:hint="eastAsia" w:ascii="仿宋_GB2312" w:hAnsi="仿宋" w:eastAsia="仿宋_GB2312"/>
              </w:rPr>
              <w:t>；</w:t>
            </w:r>
            <w:r>
              <w:rPr>
                <w:rFonts w:ascii="仿宋_GB2312" w:hAnsi="仿宋" w:eastAsia="仿宋_GB2312"/>
              </w:rPr>
              <w:t>有科学完善的管理规章制度</w:t>
            </w:r>
            <w:r>
              <w:rPr>
                <w:rFonts w:hint="eastAsia" w:ascii="仿宋_GB2312" w:hAnsi="仿宋" w:eastAsia="仿宋_GB2312"/>
              </w:rPr>
              <w:t>；</w:t>
            </w:r>
            <w:r>
              <w:rPr>
                <w:rFonts w:ascii="仿宋_GB2312" w:hAnsi="仿宋" w:eastAsia="仿宋_GB2312"/>
              </w:rPr>
              <w:t>档案的建立规范，档案的管理科学合理</w:t>
            </w:r>
            <w:r>
              <w:rPr>
                <w:rFonts w:hint="eastAsia" w:ascii="仿宋_GB2312" w:hAnsi="仿宋" w:eastAsia="仿宋_GB2312"/>
              </w:rPr>
              <w:t>。</w:t>
            </w:r>
            <w:r>
              <w:rPr>
                <w:rFonts w:ascii="仿宋_GB2312" w:hAnsi="仿宋" w:eastAsia="仿宋_GB2312"/>
              </w:rPr>
              <w:t>（</w:t>
            </w:r>
            <w:r>
              <w:rPr>
                <w:rFonts w:hint="eastAsia" w:ascii="仿宋_GB2312" w:hAnsi="仿宋" w:eastAsia="仿宋_GB2312"/>
              </w:rPr>
              <w:t>优得6分，良好得4分，一般得2分，文字叙述无针对性不得分。</w:t>
            </w:r>
            <w:r>
              <w:rPr>
                <w:rFonts w:ascii="仿宋_GB2312" w:hAnsi="仿宋" w:eastAsia="仿宋_GB2312"/>
              </w:rPr>
              <w:t>）</w:t>
            </w:r>
          </w:p>
        </w:tc>
      </w:tr>
      <w:tr w14:paraId="0D0F8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744" w:type="pct"/>
            <w:gridSpan w:val="2"/>
            <w:shd w:val="clear" w:color="auto" w:fill="auto"/>
            <w:vAlign w:val="center"/>
          </w:tcPr>
          <w:p w14:paraId="572578CC">
            <w:pPr>
              <w:pStyle w:val="227"/>
              <w:spacing w:line="320" w:lineRule="exact"/>
              <w:jc w:val="center"/>
              <w:rPr>
                <w:rFonts w:hint="eastAsia" w:ascii="宋体" w:hAnsi="宋体" w:eastAsia="宋体" w:cs="宋体"/>
                <w:b/>
                <w:sz w:val="21"/>
                <w:szCs w:val="22"/>
                <w:lang w:val="en-US" w:eastAsia="zh-CN" w:bidi="zh-CN"/>
              </w:rPr>
            </w:pPr>
            <w:r>
              <w:rPr>
                <w:rFonts w:hint="eastAsia"/>
                <w:b/>
                <w:sz w:val="21"/>
                <w:lang w:val="en-US"/>
              </w:rPr>
              <w:t>人员配备和培训管理（5分）</w:t>
            </w:r>
          </w:p>
        </w:tc>
        <w:tc>
          <w:tcPr>
            <w:tcW w:w="4255" w:type="pct"/>
            <w:gridSpan w:val="3"/>
            <w:shd w:val="clear" w:color="auto" w:fill="auto"/>
            <w:vAlign w:val="center"/>
          </w:tcPr>
          <w:p w14:paraId="451430CF">
            <w:pPr>
              <w:spacing w:line="300" w:lineRule="exact"/>
              <w:jc w:val="left"/>
              <w:rPr>
                <w:rFonts w:hint="eastAsia" w:ascii="仿宋_GB2312" w:hAnsi="仿宋" w:eastAsia="仿宋_GB2312" w:cs="Times New Roman"/>
                <w:sz w:val="24"/>
                <w:szCs w:val="24"/>
                <w:lang w:val="en-US" w:eastAsia="zh-CN" w:bidi="ar-SA"/>
              </w:rPr>
            </w:pPr>
            <w:r>
              <w:rPr>
                <w:rFonts w:ascii="仿宋_GB2312" w:hAnsi="仿宋" w:eastAsia="仿宋_GB2312"/>
              </w:rPr>
              <w:t>人员培训和考核制度，明确培训的目标、内容、培训方式；考核内容设定科学合理。（</w:t>
            </w:r>
            <w:r>
              <w:rPr>
                <w:rFonts w:hint="eastAsia" w:ascii="仿宋_GB2312" w:hAnsi="仿宋" w:eastAsia="仿宋_GB2312"/>
              </w:rPr>
              <w:t>优得5分，良好得4分，一般得3分，文字叙述无针对性不得分。</w:t>
            </w:r>
            <w:r>
              <w:rPr>
                <w:rFonts w:ascii="仿宋_GB2312" w:hAnsi="仿宋" w:eastAsia="仿宋_GB2312"/>
              </w:rPr>
              <w:t>）</w:t>
            </w:r>
          </w:p>
        </w:tc>
      </w:tr>
      <w:tr w14:paraId="29F61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744" w:type="pct"/>
            <w:gridSpan w:val="2"/>
            <w:shd w:val="clear" w:color="auto" w:fill="auto"/>
            <w:vAlign w:val="center"/>
          </w:tcPr>
          <w:p w14:paraId="2CEC0D54">
            <w:pPr>
              <w:pStyle w:val="227"/>
              <w:spacing w:line="360" w:lineRule="exact"/>
              <w:jc w:val="center"/>
              <w:rPr>
                <w:rFonts w:hint="eastAsia" w:ascii="仿宋" w:hAnsi="仿宋" w:eastAsia="仿宋" w:cs="仿宋"/>
                <w:sz w:val="22"/>
                <w:szCs w:val="22"/>
                <w:lang w:val="en-US" w:eastAsia="zh-CN" w:bidi="zh-CN"/>
              </w:rPr>
            </w:pPr>
            <w:r>
              <w:rPr>
                <w:rFonts w:hint="eastAsia"/>
                <w:b/>
                <w:sz w:val="21"/>
                <w:lang w:val="en-US"/>
              </w:rPr>
              <w:t>实施方案（20分）</w:t>
            </w:r>
          </w:p>
        </w:tc>
        <w:tc>
          <w:tcPr>
            <w:tcW w:w="4255" w:type="pct"/>
            <w:gridSpan w:val="3"/>
            <w:shd w:val="clear" w:color="auto" w:fill="auto"/>
            <w:vAlign w:val="center"/>
          </w:tcPr>
          <w:p w14:paraId="3D928FDB">
            <w:pPr>
              <w:spacing w:line="300" w:lineRule="exact"/>
              <w:jc w:val="left"/>
              <w:rPr>
                <w:rFonts w:hint="eastAsia" w:ascii="仿宋_GB2312" w:hAnsi="仿宋" w:eastAsia="仿宋_GB2312" w:cs="Times New Roman"/>
                <w:sz w:val="24"/>
                <w:szCs w:val="24"/>
                <w:lang w:val="en-US" w:eastAsia="zh-CN" w:bidi="ar-SA"/>
              </w:rPr>
            </w:pPr>
            <w:r>
              <w:rPr>
                <w:rFonts w:hint="eastAsia" w:ascii="仿宋_GB2312" w:hAnsi="仿宋" w:eastAsia="仿宋_GB2312"/>
                <w:sz w:val="24"/>
                <w:szCs w:val="24"/>
              </w:rPr>
              <w:t>保安、保洁、电工维修、绿化维护</w:t>
            </w:r>
            <w:r>
              <w:rPr>
                <w:rFonts w:hint="eastAsia" w:ascii="仿宋_GB2312" w:hAnsi="仿宋" w:eastAsia="仿宋_GB2312"/>
                <w:sz w:val="24"/>
                <w:szCs w:val="24"/>
                <w:lang w:eastAsia="zh-CN"/>
              </w:rPr>
              <w:t>、</w:t>
            </w:r>
            <w:r>
              <w:rPr>
                <w:rFonts w:hint="eastAsia" w:ascii="仿宋_GB2312" w:hAnsi="仿宋" w:eastAsia="仿宋_GB2312"/>
                <w:sz w:val="24"/>
                <w:szCs w:val="24"/>
                <w:lang w:val="en-US" w:eastAsia="zh-CN"/>
              </w:rPr>
              <w:t>停车场管理、消控值班、消防和电梯维保</w:t>
            </w:r>
            <w:r>
              <w:rPr>
                <w:rFonts w:hint="eastAsia" w:ascii="仿宋_GB2312" w:hAnsi="仿宋" w:eastAsia="仿宋_GB2312"/>
                <w:sz w:val="24"/>
                <w:szCs w:val="24"/>
              </w:rPr>
              <w:t>等工作安排,区域分工、奖惩措施、验收标准符合招标需求，切实可行。（针对上述工作内容，制定方案。方案优秀，完全响应、有创新性、可落地性强，得20分；方案良好，满足基本要求，有亮点但不够突出，得15分；方案合格，基本响应，但深度或细节不足，得10分；方案差，有重大偏离或不完整，得5分；无文字叙述的不得分。）</w:t>
            </w:r>
          </w:p>
        </w:tc>
      </w:tr>
      <w:tr w14:paraId="13940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744" w:type="pct"/>
            <w:gridSpan w:val="2"/>
            <w:shd w:val="clear" w:color="auto" w:fill="auto"/>
            <w:vAlign w:val="center"/>
          </w:tcPr>
          <w:p w14:paraId="19F0126C">
            <w:pPr>
              <w:pStyle w:val="227"/>
              <w:spacing w:line="360" w:lineRule="exact"/>
              <w:jc w:val="center"/>
              <w:rPr>
                <w:rFonts w:hint="eastAsia" w:ascii="宋体" w:hAnsi="宋体" w:eastAsia="宋体" w:cs="宋体"/>
                <w:b/>
                <w:color w:val="FF0000"/>
                <w:spacing w:val="-17"/>
                <w:sz w:val="21"/>
                <w:szCs w:val="22"/>
                <w:lang w:val="en-US" w:eastAsia="zh-CN" w:bidi="zh-CN"/>
              </w:rPr>
            </w:pPr>
            <w:r>
              <w:rPr>
                <w:rFonts w:hint="eastAsia"/>
                <w:b/>
                <w:spacing w:val="-17"/>
                <w:sz w:val="21"/>
                <w:lang w:val="en-US"/>
              </w:rPr>
              <w:t>应急处置措施（15分）</w:t>
            </w:r>
          </w:p>
        </w:tc>
        <w:tc>
          <w:tcPr>
            <w:tcW w:w="4255" w:type="pct"/>
            <w:gridSpan w:val="3"/>
            <w:shd w:val="clear" w:color="auto" w:fill="auto"/>
            <w:vAlign w:val="center"/>
          </w:tcPr>
          <w:p w14:paraId="1039C700">
            <w:pPr>
              <w:pStyle w:val="227"/>
              <w:spacing w:line="360" w:lineRule="exact"/>
              <w:rPr>
                <w:rFonts w:hint="eastAsia" w:ascii="宋体" w:hAnsi="宋体" w:eastAsia="宋体" w:cs="宋体"/>
                <w:bCs/>
                <w:color w:val="FF0000"/>
                <w:sz w:val="21"/>
                <w:szCs w:val="22"/>
                <w:lang w:val="en-US" w:eastAsia="zh-CN" w:bidi="zh-CN"/>
              </w:rPr>
            </w:pPr>
            <w:r>
              <w:rPr>
                <w:rFonts w:ascii="仿宋_GB2312" w:hAnsi="仿宋" w:eastAsia="仿宋_GB2312" w:cs="Times New Roman"/>
                <w:sz w:val="24"/>
                <w:szCs w:val="24"/>
                <w:lang w:val="en-US" w:bidi="ar-SA"/>
              </w:rPr>
              <w:t>对物业区域内突发事件的应急预案及相应措施。（</w:t>
            </w:r>
            <w:r>
              <w:rPr>
                <w:rFonts w:hint="eastAsia" w:ascii="仿宋_GB2312" w:hAnsi="仿宋" w:eastAsia="仿宋_GB2312" w:cs="Times New Roman"/>
                <w:sz w:val="24"/>
                <w:szCs w:val="24"/>
                <w:lang w:val="en-US" w:bidi="ar-SA"/>
              </w:rPr>
              <w:t>优得15分，良好得10分，一般得5分，文字叙述无针对性不得分。</w:t>
            </w:r>
            <w:r>
              <w:rPr>
                <w:rFonts w:ascii="仿宋_GB2312" w:hAnsi="仿宋" w:eastAsia="仿宋_GB2312" w:cs="Times New Roman"/>
                <w:sz w:val="24"/>
                <w:szCs w:val="24"/>
                <w:lang w:val="en-US" w:bidi="ar-SA"/>
              </w:rPr>
              <w:t>）</w:t>
            </w:r>
          </w:p>
        </w:tc>
      </w:tr>
    </w:tbl>
    <w:p w14:paraId="65EF2750">
      <w:pPr>
        <w:spacing w:line="500" w:lineRule="exact"/>
        <w:outlineLvl w:val="1"/>
        <w:rPr>
          <w:rFonts w:eastAsia="黑体"/>
          <w:b/>
          <w:color w:val="0D0D0D"/>
          <w:sz w:val="28"/>
          <w:szCs w:val="32"/>
        </w:rPr>
      </w:pPr>
      <w:r>
        <w:rPr>
          <w:rFonts w:hint="eastAsia" w:eastAsia="黑体"/>
          <w:b/>
          <w:color w:val="0D0D0D"/>
          <w:sz w:val="28"/>
          <w:szCs w:val="32"/>
        </w:rPr>
        <w:t>1.</w:t>
      </w:r>
      <w:r>
        <w:rPr>
          <w:rFonts w:hint="eastAsia" w:hAnsi="黑体" w:eastAsia="黑体"/>
          <w:b/>
          <w:color w:val="0D0D0D"/>
          <w:sz w:val="28"/>
          <w:szCs w:val="32"/>
        </w:rPr>
        <w:t>资格审查</w:t>
      </w:r>
    </w:p>
    <w:p w14:paraId="6554BF83">
      <w:pPr>
        <w:spacing w:line="560" w:lineRule="exact"/>
        <w:outlineLvl w:val="2"/>
        <w:rPr>
          <w:rFonts w:eastAsia="楷体_GB2312"/>
          <w:b/>
          <w:color w:val="0D0D0D"/>
          <w:sz w:val="28"/>
          <w:szCs w:val="32"/>
        </w:rPr>
      </w:pPr>
      <w:r>
        <w:rPr>
          <w:rFonts w:hint="eastAsia" w:eastAsia="楷体_GB2312"/>
          <w:b/>
          <w:color w:val="0D0D0D"/>
          <w:sz w:val="28"/>
          <w:szCs w:val="32"/>
        </w:rPr>
        <w:t>1.1资格审查</w:t>
      </w:r>
    </w:p>
    <w:p w14:paraId="45028AA7">
      <w:pPr>
        <w:spacing w:line="500" w:lineRule="exact"/>
        <w:ind w:firstLine="560"/>
        <w:rPr>
          <w:rFonts w:eastAsia="仿宋_GB2312"/>
          <w:color w:val="0D0D0D"/>
          <w:sz w:val="28"/>
          <w:szCs w:val="32"/>
        </w:rPr>
      </w:pPr>
      <w:r>
        <w:rPr>
          <w:rFonts w:hint="eastAsia" w:eastAsia="仿宋_GB2312"/>
          <w:color w:val="0D0D0D"/>
          <w:sz w:val="28"/>
          <w:szCs w:val="32"/>
        </w:rPr>
        <w:t>1.1.1资格审查由竞争性磋商小组负责。</w:t>
      </w:r>
    </w:p>
    <w:p w14:paraId="772524CD">
      <w:pPr>
        <w:spacing w:line="500" w:lineRule="exact"/>
        <w:ind w:firstLine="560"/>
        <w:rPr>
          <w:rFonts w:eastAsia="仿宋_GB2312"/>
          <w:color w:val="0D0D0D"/>
          <w:sz w:val="28"/>
          <w:szCs w:val="32"/>
        </w:rPr>
      </w:pPr>
      <w:r>
        <w:rPr>
          <w:rFonts w:hint="eastAsia" w:eastAsia="仿宋_GB2312"/>
          <w:color w:val="0D0D0D"/>
          <w:sz w:val="28"/>
          <w:szCs w:val="32"/>
        </w:rPr>
        <w:t>1.1.2资格审查因素和标准：见竞争性磋商前附表。</w:t>
      </w:r>
    </w:p>
    <w:p w14:paraId="5067C8C8">
      <w:pPr>
        <w:spacing w:line="500" w:lineRule="exact"/>
        <w:outlineLvl w:val="1"/>
        <w:rPr>
          <w:rFonts w:eastAsia="黑体"/>
          <w:b/>
          <w:color w:val="0D0D0D"/>
          <w:sz w:val="28"/>
          <w:szCs w:val="32"/>
        </w:rPr>
      </w:pPr>
      <w:r>
        <w:rPr>
          <w:rFonts w:hint="eastAsia" w:eastAsia="黑体"/>
          <w:b/>
          <w:color w:val="0D0D0D"/>
          <w:sz w:val="28"/>
          <w:szCs w:val="32"/>
        </w:rPr>
        <w:t>2.</w:t>
      </w:r>
      <w:r>
        <w:rPr>
          <w:rFonts w:hint="eastAsia" w:hAnsi="黑体" w:eastAsia="黑体"/>
          <w:b/>
          <w:color w:val="0D0D0D"/>
          <w:sz w:val="28"/>
          <w:szCs w:val="32"/>
        </w:rPr>
        <w:t>磋商</w:t>
      </w:r>
    </w:p>
    <w:p w14:paraId="4FC66307">
      <w:pPr>
        <w:spacing w:line="560" w:lineRule="exact"/>
        <w:outlineLvl w:val="2"/>
        <w:rPr>
          <w:rFonts w:eastAsia="楷体_GB2312"/>
          <w:b/>
          <w:color w:val="0D0D0D"/>
          <w:sz w:val="28"/>
          <w:szCs w:val="32"/>
        </w:rPr>
      </w:pPr>
      <w:r>
        <w:rPr>
          <w:rFonts w:hint="eastAsia" w:eastAsia="楷体_GB2312"/>
          <w:b/>
          <w:color w:val="0D0D0D"/>
          <w:sz w:val="28"/>
          <w:szCs w:val="32"/>
        </w:rPr>
        <w:t>2.1确定磋商对象</w:t>
      </w:r>
    </w:p>
    <w:p w14:paraId="0F54036A">
      <w:pPr>
        <w:spacing w:line="500" w:lineRule="exact"/>
        <w:ind w:firstLine="560"/>
        <w:rPr>
          <w:rFonts w:eastAsia="仿宋_GB2312"/>
          <w:color w:val="0D0D0D"/>
          <w:sz w:val="28"/>
          <w:szCs w:val="32"/>
        </w:rPr>
      </w:pPr>
      <w:r>
        <w:rPr>
          <w:rFonts w:hint="eastAsia" w:eastAsia="仿宋_GB2312"/>
          <w:color w:val="0D0D0D"/>
          <w:sz w:val="28"/>
          <w:szCs w:val="32"/>
        </w:rPr>
        <w:t>磋商小组邀请资格审查合格的供应商参加磋商。</w:t>
      </w:r>
    </w:p>
    <w:p w14:paraId="533366B0">
      <w:pPr>
        <w:spacing w:line="560" w:lineRule="exact"/>
        <w:outlineLvl w:val="2"/>
        <w:rPr>
          <w:rFonts w:eastAsia="楷体_GB2312"/>
          <w:b/>
          <w:color w:val="0D0D0D"/>
          <w:sz w:val="28"/>
          <w:szCs w:val="32"/>
        </w:rPr>
      </w:pPr>
      <w:r>
        <w:rPr>
          <w:rFonts w:hint="eastAsia" w:eastAsia="楷体_GB2312"/>
          <w:b/>
          <w:color w:val="0D0D0D"/>
          <w:sz w:val="28"/>
          <w:szCs w:val="32"/>
        </w:rPr>
        <w:t>2.2磋商</w:t>
      </w:r>
    </w:p>
    <w:p w14:paraId="31FB7C0A">
      <w:pPr>
        <w:spacing w:line="500" w:lineRule="exact"/>
        <w:ind w:firstLine="560"/>
        <w:outlineLvl w:val="3"/>
        <w:rPr>
          <w:rFonts w:eastAsia="仿宋_GB2312"/>
          <w:sz w:val="28"/>
          <w:szCs w:val="32"/>
        </w:rPr>
      </w:pPr>
      <w:r>
        <w:rPr>
          <w:rFonts w:hint="eastAsia" w:eastAsia="仿宋_GB2312"/>
          <w:color w:val="0D0D0D"/>
          <w:sz w:val="28"/>
          <w:szCs w:val="32"/>
        </w:rPr>
        <w:t>2.2.1磋商小组所有成员集中与单一供应商分别进行磋商。</w:t>
      </w:r>
      <w:r>
        <w:rPr>
          <w:rFonts w:hint="eastAsia" w:eastAsia="仿宋_GB2312"/>
          <w:b/>
          <w:bCs/>
          <w:sz w:val="28"/>
          <w:szCs w:val="32"/>
        </w:rPr>
        <w:t>供应商在项目评审全过程中应保持通讯畅通，并安排专人与采购人及磋商小组联系。</w:t>
      </w:r>
    </w:p>
    <w:p w14:paraId="613CEBBE">
      <w:pPr>
        <w:spacing w:line="500" w:lineRule="exact"/>
        <w:ind w:firstLine="560"/>
        <w:rPr>
          <w:rFonts w:eastAsia="仿宋_GB2312"/>
          <w:color w:val="0D0D0D"/>
          <w:sz w:val="28"/>
          <w:szCs w:val="32"/>
        </w:rPr>
      </w:pPr>
      <w:r>
        <w:rPr>
          <w:rFonts w:hint="eastAsia" w:eastAsia="仿宋_GB2312"/>
          <w:color w:val="0D0D0D"/>
          <w:sz w:val="28"/>
          <w:szCs w:val="32"/>
        </w:rPr>
        <w:t>2.2.2磋商小组与供应商就采购需求中的技术、服务要求以及合同草案条款进行磋商。</w:t>
      </w:r>
    </w:p>
    <w:p w14:paraId="4F56C3E9">
      <w:pPr>
        <w:spacing w:line="500" w:lineRule="exact"/>
        <w:ind w:firstLine="560"/>
        <w:rPr>
          <w:rFonts w:eastAsia="仿宋_GB2312"/>
          <w:color w:val="0D0D0D"/>
          <w:sz w:val="28"/>
          <w:szCs w:val="32"/>
        </w:rPr>
      </w:pPr>
      <w:r>
        <w:rPr>
          <w:rFonts w:hint="eastAsia" w:eastAsia="仿宋_GB2312"/>
          <w:color w:val="0D0D0D"/>
          <w:sz w:val="28"/>
          <w:szCs w:val="32"/>
        </w:rPr>
        <w:t>2.2.3磋商结束后，磋商小组依据磋商的情况，形成经磋商确定的磋商文件。</w:t>
      </w:r>
    </w:p>
    <w:p w14:paraId="1488D967">
      <w:pPr>
        <w:spacing w:line="500" w:lineRule="exact"/>
        <w:ind w:firstLine="560"/>
        <w:rPr>
          <w:rFonts w:eastAsia="仿宋_GB2312"/>
          <w:color w:val="0D0D0D"/>
          <w:sz w:val="28"/>
          <w:szCs w:val="32"/>
        </w:rPr>
      </w:pPr>
      <w:r>
        <w:rPr>
          <w:rFonts w:hint="eastAsia" w:eastAsia="仿宋_GB2312"/>
          <w:color w:val="0D0D0D"/>
          <w:sz w:val="28"/>
          <w:szCs w:val="32"/>
        </w:rPr>
        <w:t>2.2.4对磋商文件作出的实质性变动是磋商文件的有效组成部分，磋商小组将以书面形式同时通知所有参加磋商的供应商。</w:t>
      </w:r>
    </w:p>
    <w:p w14:paraId="5C6A714C">
      <w:pPr>
        <w:spacing w:line="500" w:lineRule="exact"/>
        <w:ind w:firstLine="560"/>
        <w:rPr>
          <w:rFonts w:eastAsia="仿宋_GB2312"/>
          <w:color w:val="0D0D0D"/>
          <w:sz w:val="28"/>
          <w:szCs w:val="32"/>
        </w:rPr>
      </w:pPr>
      <w:r>
        <w:rPr>
          <w:rFonts w:hint="eastAsia" w:eastAsia="仿宋_GB2312"/>
          <w:color w:val="0D0D0D"/>
          <w:sz w:val="28"/>
          <w:szCs w:val="32"/>
        </w:rPr>
        <w:t>2.2.5在提交最后报价之前，供应商可以根据磋商情况退出磋商。</w:t>
      </w:r>
    </w:p>
    <w:p w14:paraId="3E193A88">
      <w:pPr>
        <w:spacing w:line="500" w:lineRule="exact"/>
        <w:outlineLvl w:val="1"/>
        <w:rPr>
          <w:rFonts w:eastAsia="黑体"/>
          <w:b/>
          <w:color w:val="0D0D0D"/>
          <w:sz w:val="28"/>
          <w:szCs w:val="32"/>
        </w:rPr>
      </w:pPr>
      <w:r>
        <w:rPr>
          <w:rFonts w:hint="eastAsia" w:eastAsia="黑体"/>
          <w:b/>
          <w:color w:val="0D0D0D"/>
          <w:sz w:val="28"/>
          <w:szCs w:val="32"/>
        </w:rPr>
        <w:t>3.</w:t>
      </w:r>
      <w:r>
        <w:rPr>
          <w:rFonts w:hint="eastAsia" w:hAnsi="黑体" w:eastAsia="黑体"/>
          <w:b/>
          <w:color w:val="0D0D0D"/>
          <w:sz w:val="28"/>
          <w:szCs w:val="32"/>
        </w:rPr>
        <w:t>再次提交响应文件</w:t>
      </w:r>
    </w:p>
    <w:p w14:paraId="40641441">
      <w:pPr>
        <w:spacing w:line="560" w:lineRule="exact"/>
        <w:outlineLvl w:val="2"/>
        <w:rPr>
          <w:rFonts w:eastAsia="楷体_GB2312"/>
          <w:b/>
          <w:color w:val="0D0D0D"/>
          <w:sz w:val="28"/>
          <w:szCs w:val="32"/>
        </w:rPr>
      </w:pPr>
      <w:r>
        <w:rPr>
          <w:rFonts w:hint="eastAsia" w:eastAsia="楷体_GB2312"/>
          <w:b/>
          <w:color w:val="0D0D0D"/>
          <w:sz w:val="28"/>
          <w:szCs w:val="32"/>
        </w:rPr>
        <w:t>3.1技术、服务要求和合同草案条款响应</w:t>
      </w:r>
    </w:p>
    <w:p w14:paraId="5EC600A7">
      <w:pPr>
        <w:spacing w:line="500" w:lineRule="exact"/>
        <w:ind w:firstLine="560"/>
        <w:rPr>
          <w:rFonts w:eastAsia="仿宋_GB2312"/>
          <w:color w:val="0D0D0D"/>
          <w:sz w:val="28"/>
          <w:szCs w:val="32"/>
        </w:rPr>
      </w:pPr>
      <w:r>
        <w:rPr>
          <w:rFonts w:hint="eastAsia" w:eastAsia="仿宋_GB2312"/>
          <w:color w:val="0D0D0D"/>
          <w:sz w:val="28"/>
          <w:szCs w:val="32"/>
        </w:rPr>
        <w:t>供应商按照磋商文件的变动情况和磋商小组的要求，对采购需求中的技术、服务要求以及合同草案条款作出响应。</w:t>
      </w:r>
    </w:p>
    <w:p w14:paraId="7F6F9D15">
      <w:pPr>
        <w:spacing w:line="560" w:lineRule="exact"/>
        <w:outlineLvl w:val="2"/>
        <w:rPr>
          <w:rFonts w:eastAsia="楷体_GB2312"/>
          <w:b/>
          <w:color w:val="0D0D0D"/>
          <w:sz w:val="28"/>
          <w:szCs w:val="32"/>
        </w:rPr>
      </w:pPr>
      <w:r>
        <w:rPr>
          <w:rFonts w:hint="eastAsia" w:eastAsia="楷体_GB2312"/>
          <w:b/>
          <w:color w:val="0D0D0D"/>
          <w:sz w:val="28"/>
          <w:szCs w:val="32"/>
        </w:rPr>
        <w:t>3.2最后报价</w:t>
      </w:r>
    </w:p>
    <w:p w14:paraId="5223DC94">
      <w:pPr>
        <w:spacing w:line="500" w:lineRule="exact"/>
        <w:ind w:firstLine="560"/>
        <w:rPr>
          <w:rFonts w:eastAsia="仿宋_GB2312"/>
          <w:color w:val="FF0000"/>
          <w:sz w:val="28"/>
          <w:szCs w:val="32"/>
        </w:rPr>
      </w:pPr>
      <w:r>
        <w:rPr>
          <w:rFonts w:hint="eastAsia" w:eastAsia="仿宋_GB2312"/>
          <w:color w:val="0D0D0D"/>
          <w:sz w:val="28"/>
          <w:szCs w:val="32"/>
        </w:rPr>
        <w:t>供应商按照磋商小组的要求，在规定的时间内，通过“苏采云”系统提交最后报价。</w:t>
      </w:r>
    </w:p>
    <w:p w14:paraId="5D36C44C">
      <w:pPr>
        <w:spacing w:line="500" w:lineRule="exact"/>
        <w:outlineLvl w:val="1"/>
        <w:rPr>
          <w:rFonts w:eastAsia="黑体"/>
          <w:b/>
          <w:color w:val="0D0D0D"/>
          <w:sz w:val="28"/>
          <w:szCs w:val="32"/>
        </w:rPr>
      </w:pPr>
      <w:r>
        <w:rPr>
          <w:rFonts w:hint="eastAsia" w:eastAsia="黑体"/>
          <w:b/>
          <w:color w:val="0D0D0D"/>
          <w:sz w:val="28"/>
          <w:szCs w:val="32"/>
        </w:rPr>
        <w:t>4.形式性评审和</w:t>
      </w:r>
      <w:r>
        <w:rPr>
          <w:rFonts w:hint="eastAsia" w:hAnsi="黑体" w:eastAsia="黑体"/>
          <w:b/>
          <w:color w:val="0D0D0D"/>
          <w:sz w:val="28"/>
          <w:szCs w:val="32"/>
        </w:rPr>
        <w:t>响应性评审</w:t>
      </w:r>
    </w:p>
    <w:p w14:paraId="53660C3A">
      <w:pPr>
        <w:spacing w:line="500" w:lineRule="exact"/>
        <w:ind w:firstLine="560"/>
        <w:rPr>
          <w:rFonts w:eastAsia="仿宋_GB2312"/>
          <w:color w:val="0D0D0D"/>
          <w:sz w:val="28"/>
          <w:szCs w:val="32"/>
        </w:rPr>
      </w:pPr>
      <w:r>
        <w:rPr>
          <w:rFonts w:hint="eastAsia" w:eastAsia="仿宋_GB2312"/>
          <w:color w:val="0D0D0D"/>
          <w:sz w:val="28"/>
          <w:szCs w:val="32"/>
        </w:rPr>
        <w:t>4.1形式性评审和响应性评审由竞争性磋商小组负责。</w:t>
      </w:r>
    </w:p>
    <w:p w14:paraId="02DA6646">
      <w:pPr>
        <w:spacing w:line="500" w:lineRule="exact"/>
        <w:ind w:firstLine="560"/>
        <w:rPr>
          <w:rFonts w:eastAsia="仿宋_GB2312"/>
          <w:color w:val="0D0D0D"/>
          <w:sz w:val="28"/>
          <w:szCs w:val="32"/>
        </w:rPr>
      </w:pPr>
      <w:r>
        <w:rPr>
          <w:rFonts w:hint="eastAsia" w:eastAsia="仿宋_GB2312"/>
          <w:color w:val="0D0D0D"/>
          <w:sz w:val="28"/>
          <w:szCs w:val="32"/>
        </w:rPr>
        <w:t>4.2形式性评审和响应性评审因素和标准：见竞争性磋商前附表。</w:t>
      </w:r>
    </w:p>
    <w:p w14:paraId="16F2A12E">
      <w:pPr>
        <w:spacing w:line="500" w:lineRule="exact"/>
        <w:outlineLvl w:val="1"/>
        <w:rPr>
          <w:rFonts w:eastAsia="黑体"/>
          <w:b/>
          <w:color w:val="0D0D0D"/>
          <w:sz w:val="28"/>
          <w:szCs w:val="32"/>
        </w:rPr>
      </w:pPr>
      <w:r>
        <w:rPr>
          <w:rFonts w:hint="eastAsia" w:eastAsia="黑体"/>
          <w:b/>
          <w:color w:val="0D0D0D"/>
          <w:sz w:val="28"/>
          <w:szCs w:val="32"/>
        </w:rPr>
        <w:t>5.</w:t>
      </w:r>
      <w:r>
        <w:rPr>
          <w:rFonts w:hint="eastAsia" w:hAnsi="黑体" w:eastAsia="黑体"/>
          <w:b/>
          <w:color w:val="0D0D0D"/>
          <w:sz w:val="28"/>
          <w:szCs w:val="32"/>
        </w:rPr>
        <w:t>详细评审</w:t>
      </w:r>
    </w:p>
    <w:p w14:paraId="56CC12B8">
      <w:pPr>
        <w:spacing w:line="500" w:lineRule="exact"/>
        <w:ind w:firstLine="560"/>
        <w:rPr>
          <w:rFonts w:eastAsia="仿宋_GB2312"/>
          <w:color w:val="0D0D0D"/>
          <w:sz w:val="28"/>
          <w:szCs w:val="32"/>
        </w:rPr>
      </w:pPr>
      <w:r>
        <w:rPr>
          <w:rFonts w:hint="eastAsia" w:eastAsia="仿宋_GB2312"/>
          <w:color w:val="0D0D0D"/>
          <w:sz w:val="28"/>
          <w:szCs w:val="32"/>
        </w:rPr>
        <w:t>5.1详细评审由竞争性磋商小组负责。</w:t>
      </w:r>
    </w:p>
    <w:p w14:paraId="6FB75919">
      <w:pPr>
        <w:spacing w:line="500" w:lineRule="exact"/>
        <w:ind w:firstLine="560"/>
        <w:rPr>
          <w:rFonts w:eastAsia="仿宋_GB2312"/>
          <w:color w:val="0D0D0D"/>
          <w:sz w:val="28"/>
          <w:szCs w:val="32"/>
        </w:rPr>
      </w:pPr>
      <w:r>
        <w:rPr>
          <w:rFonts w:hint="eastAsia" w:eastAsia="仿宋_GB2312"/>
          <w:color w:val="0D0D0D"/>
          <w:sz w:val="28"/>
          <w:szCs w:val="32"/>
        </w:rPr>
        <w:t>5.2详细评审因素和标准：见竞争性磋商前附表。</w:t>
      </w:r>
    </w:p>
    <w:p w14:paraId="1CDA48F5">
      <w:pPr>
        <w:spacing w:line="500" w:lineRule="exact"/>
        <w:outlineLvl w:val="1"/>
        <w:rPr>
          <w:rFonts w:eastAsia="黑体"/>
          <w:b/>
          <w:color w:val="0D0D0D"/>
          <w:sz w:val="28"/>
          <w:szCs w:val="32"/>
        </w:rPr>
      </w:pPr>
      <w:r>
        <w:rPr>
          <w:rFonts w:hint="eastAsia" w:eastAsia="黑体"/>
          <w:b/>
          <w:color w:val="0D0D0D"/>
          <w:sz w:val="28"/>
          <w:szCs w:val="32"/>
        </w:rPr>
        <w:t>6.</w:t>
      </w:r>
      <w:r>
        <w:rPr>
          <w:rFonts w:hint="eastAsia" w:hAnsi="黑体" w:eastAsia="黑体"/>
          <w:b/>
          <w:color w:val="0D0D0D"/>
          <w:sz w:val="28"/>
          <w:szCs w:val="32"/>
        </w:rPr>
        <w:t>推荐成交候选人</w:t>
      </w:r>
    </w:p>
    <w:p w14:paraId="63FD07A7">
      <w:pPr>
        <w:spacing w:line="500" w:lineRule="exact"/>
        <w:ind w:firstLine="560"/>
        <w:rPr>
          <w:rFonts w:eastAsia="仿宋_GB2312"/>
          <w:color w:val="0D0D0D"/>
          <w:sz w:val="28"/>
          <w:szCs w:val="32"/>
        </w:rPr>
      </w:pPr>
      <w:r>
        <w:rPr>
          <w:rFonts w:hint="eastAsia" w:eastAsia="仿宋_GB2312"/>
          <w:color w:val="0D0D0D"/>
          <w:sz w:val="28"/>
          <w:szCs w:val="32"/>
        </w:rPr>
        <w:t>磋商小组采用综合评分法对供应商的响应文件和最后报价进行综合评分。磋商小组根据综合评分情况，按照评审得分由高到低顺序推荐3名以上成交候选供应商，并编写评审报告。</w:t>
      </w:r>
    </w:p>
    <w:p w14:paraId="38D6CA40">
      <w:pPr>
        <w:spacing w:line="500" w:lineRule="exact"/>
        <w:outlineLvl w:val="1"/>
        <w:rPr>
          <w:rFonts w:eastAsia="黑体"/>
          <w:b/>
          <w:color w:val="0D0D0D"/>
          <w:sz w:val="28"/>
          <w:szCs w:val="32"/>
        </w:rPr>
      </w:pPr>
      <w:r>
        <w:rPr>
          <w:rFonts w:hint="eastAsia" w:eastAsia="黑体"/>
          <w:b/>
          <w:color w:val="0D0D0D"/>
          <w:sz w:val="28"/>
          <w:szCs w:val="32"/>
        </w:rPr>
        <w:t>7.</w:t>
      </w:r>
      <w:r>
        <w:rPr>
          <w:rFonts w:hint="eastAsia" w:hAnsi="黑体" w:eastAsia="黑体"/>
          <w:b/>
          <w:color w:val="0D0D0D"/>
          <w:sz w:val="28"/>
          <w:szCs w:val="32"/>
        </w:rPr>
        <w:t>确定成交供应商</w:t>
      </w:r>
    </w:p>
    <w:p w14:paraId="3E184870">
      <w:pPr>
        <w:spacing w:line="500" w:lineRule="exact"/>
        <w:ind w:firstLine="560"/>
        <w:rPr>
          <w:rFonts w:eastAsia="仿宋_GB2312"/>
          <w:color w:val="0D0D0D"/>
          <w:sz w:val="28"/>
          <w:szCs w:val="32"/>
        </w:rPr>
      </w:pPr>
      <w:r>
        <w:rPr>
          <w:rFonts w:hint="eastAsia" w:eastAsia="仿宋_GB2312"/>
          <w:color w:val="0D0D0D"/>
          <w:sz w:val="28"/>
          <w:szCs w:val="32"/>
        </w:rPr>
        <w:t>采购人从磋商小组提出的成交候选人中根据符合采购需求且评审得分最高的原则确定成交供应商，并将结果通知所有参加磋商的未成交的供应商。</w:t>
      </w:r>
    </w:p>
    <w:p w14:paraId="4481098E">
      <w:pPr>
        <w:spacing w:line="500" w:lineRule="exact"/>
        <w:outlineLvl w:val="1"/>
        <w:rPr>
          <w:rFonts w:eastAsia="黑体"/>
          <w:b/>
          <w:color w:val="0D0D0D"/>
          <w:sz w:val="28"/>
          <w:szCs w:val="32"/>
        </w:rPr>
      </w:pPr>
      <w:r>
        <w:rPr>
          <w:rFonts w:hint="eastAsia" w:eastAsia="黑体"/>
          <w:b/>
          <w:color w:val="0D0D0D"/>
          <w:sz w:val="28"/>
          <w:szCs w:val="32"/>
        </w:rPr>
        <w:t>8.</w:t>
      </w:r>
      <w:r>
        <w:rPr>
          <w:rFonts w:hint="eastAsia" w:hAnsi="黑体" w:eastAsia="黑体"/>
          <w:b/>
          <w:color w:val="0D0D0D"/>
          <w:sz w:val="28"/>
          <w:szCs w:val="32"/>
        </w:rPr>
        <w:t>澄清、说明或补正</w:t>
      </w:r>
    </w:p>
    <w:p w14:paraId="77F840EB">
      <w:pPr>
        <w:spacing w:line="500" w:lineRule="exact"/>
        <w:ind w:firstLine="560"/>
        <w:rPr>
          <w:rFonts w:eastAsia="仿宋_GB2312"/>
          <w:color w:val="0D0D0D"/>
          <w:sz w:val="28"/>
          <w:szCs w:val="32"/>
        </w:rPr>
      </w:pPr>
      <w:r>
        <w:rPr>
          <w:rFonts w:hint="eastAsia" w:eastAsia="仿宋_GB2312"/>
          <w:color w:val="0D0D0D"/>
          <w:sz w:val="28"/>
          <w:szCs w:val="32"/>
        </w:rPr>
        <w:t>8.1磋商小组在评审过程中，可以要求供应商对响应文件中含义不明确、同类问题表述不一致或者有明显文字和计算错误的内容等作出必要的澄清、说明或者更正。</w:t>
      </w:r>
    </w:p>
    <w:p w14:paraId="58BAB538">
      <w:pPr>
        <w:spacing w:line="500" w:lineRule="exact"/>
        <w:ind w:firstLine="560"/>
        <w:rPr>
          <w:rFonts w:eastAsia="仿宋_GB2312"/>
          <w:color w:val="0D0D0D"/>
          <w:sz w:val="28"/>
          <w:szCs w:val="32"/>
        </w:rPr>
      </w:pPr>
      <w:r>
        <w:rPr>
          <w:rFonts w:hint="eastAsia" w:eastAsia="仿宋_GB2312"/>
          <w:color w:val="0D0D0D"/>
          <w:sz w:val="28"/>
          <w:szCs w:val="32"/>
        </w:rPr>
        <w:t>8.2磋商小组要求供应商澄清、说明或者更正响应文件应当以书面形式作出。</w:t>
      </w:r>
    </w:p>
    <w:p w14:paraId="333BDB1F">
      <w:pPr>
        <w:spacing w:line="500" w:lineRule="exact"/>
        <w:ind w:firstLine="560"/>
        <w:rPr>
          <w:rFonts w:eastAsia="仿宋_GB2312"/>
          <w:color w:val="0D0D0D"/>
          <w:sz w:val="28"/>
          <w:szCs w:val="32"/>
        </w:rPr>
      </w:pPr>
      <w:r>
        <w:rPr>
          <w:rFonts w:hint="eastAsia" w:eastAsia="仿宋_GB2312"/>
          <w:color w:val="0D0D0D"/>
          <w:sz w:val="28"/>
          <w:szCs w:val="32"/>
        </w:rPr>
        <w:t>8.3供应商的澄清、说明或者更正应当由法定代表人或其授权代表签字或者加盖公章。由授权代表签字的，应当附法定代表人授权书。供应商的书面澄清材料作为响应文件的补充。</w:t>
      </w:r>
    </w:p>
    <w:p w14:paraId="28B957BE">
      <w:pPr>
        <w:spacing w:line="500" w:lineRule="exact"/>
        <w:ind w:firstLine="560"/>
        <w:rPr>
          <w:rFonts w:eastAsia="仿宋_GB2312"/>
          <w:color w:val="0D0D0D"/>
          <w:sz w:val="28"/>
          <w:szCs w:val="32"/>
        </w:rPr>
      </w:pPr>
      <w:r>
        <w:rPr>
          <w:rFonts w:hint="eastAsia" w:eastAsia="仿宋_GB2312"/>
          <w:color w:val="0D0D0D"/>
          <w:sz w:val="28"/>
          <w:szCs w:val="32"/>
        </w:rPr>
        <w:t>8.4供应商的澄清、说明或者更正不得超出响应文件的范围或者改变响应文件的实质性内容。</w:t>
      </w:r>
    </w:p>
    <w:p w14:paraId="3F4AD732">
      <w:pPr>
        <w:spacing w:line="500" w:lineRule="exact"/>
        <w:ind w:firstLine="560"/>
        <w:outlineLvl w:val="2"/>
        <w:rPr>
          <w:rFonts w:eastAsia="仿宋_GB2312"/>
          <w:color w:val="0D0D0D"/>
          <w:sz w:val="28"/>
          <w:szCs w:val="32"/>
        </w:rPr>
      </w:pPr>
      <w:r>
        <w:rPr>
          <w:rFonts w:hint="eastAsia" w:eastAsia="仿宋_GB2312"/>
          <w:color w:val="0D0D0D"/>
          <w:sz w:val="28"/>
          <w:szCs w:val="32"/>
        </w:rPr>
        <w:t>8.5磋商小组不得接受供应商主动提出的澄清、说明或补正。</w:t>
      </w:r>
    </w:p>
    <w:p w14:paraId="4B9C21DE">
      <w:pPr>
        <w:spacing w:line="500" w:lineRule="exact"/>
        <w:outlineLvl w:val="1"/>
        <w:rPr>
          <w:rFonts w:eastAsia="黑体"/>
          <w:b/>
          <w:color w:val="0D0D0D"/>
          <w:sz w:val="28"/>
          <w:szCs w:val="32"/>
        </w:rPr>
      </w:pPr>
      <w:r>
        <w:rPr>
          <w:rFonts w:hint="eastAsia" w:eastAsia="黑体"/>
          <w:b/>
          <w:color w:val="0D0D0D"/>
          <w:sz w:val="28"/>
          <w:szCs w:val="32"/>
        </w:rPr>
        <w:t>9.</w:t>
      </w:r>
      <w:r>
        <w:rPr>
          <w:rFonts w:hint="eastAsia" w:hAnsi="黑体" w:eastAsia="黑体"/>
          <w:b/>
          <w:color w:val="0D0D0D"/>
          <w:sz w:val="28"/>
          <w:szCs w:val="32"/>
        </w:rPr>
        <w:t>评审过程中特殊情况的处理规定</w:t>
      </w:r>
    </w:p>
    <w:p w14:paraId="42A6C7D3">
      <w:pPr>
        <w:spacing w:line="560" w:lineRule="exact"/>
        <w:outlineLvl w:val="2"/>
        <w:rPr>
          <w:rFonts w:eastAsia="楷体_GB2312"/>
          <w:b/>
          <w:color w:val="0D0D0D"/>
          <w:sz w:val="28"/>
          <w:szCs w:val="32"/>
        </w:rPr>
      </w:pPr>
      <w:r>
        <w:rPr>
          <w:rFonts w:hint="eastAsia" w:eastAsia="楷体_GB2312"/>
          <w:b/>
          <w:color w:val="0D0D0D"/>
          <w:sz w:val="28"/>
          <w:szCs w:val="32"/>
        </w:rPr>
        <w:t>9.1磋商小组成员的更换</w:t>
      </w:r>
    </w:p>
    <w:p w14:paraId="3F3015FD">
      <w:pPr>
        <w:spacing w:line="500" w:lineRule="exact"/>
        <w:ind w:firstLine="560"/>
        <w:rPr>
          <w:rFonts w:eastAsia="仿宋_GB2312"/>
          <w:color w:val="0D0D0D"/>
          <w:sz w:val="28"/>
          <w:szCs w:val="32"/>
        </w:rPr>
      </w:pPr>
      <w:r>
        <w:rPr>
          <w:rFonts w:hint="eastAsia" w:eastAsia="仿宋_GB2312"/>
          <w:color w:val="0D0D0D"/>
          <w:sz w:val="28"/>
          <w:szCs w:val="32"/>
        </w:rPr>
        <w:t>9.1.1评审过程中，因磋商小组成员缺席、回避或者健康等特殊原因导致磋商小组组成不符合规定的，采购人将依法补足后继续评审。被更换的磋商小组成员所作出的评审意见无效。</w:t>
      </w:r>
    </w:p>
    <w:p w14:paraId="490C873A">
      <w:pPr>
        <w:spacing w:line="500" w:lineRule="exact"/>
        <w:ind w:firstLine="560"/>
        <w:rPr>
          <w:rFonts w:eastAsia="仿宋_GB2312"/>
          <w:color w:val="0D0D0D"/>
          <w:sz w:val="28"/>
          <w:szCs w:val="32"/>
        </w:rPr>
      </w:pPr>
      <w:r>
        <w:rPr>
          <w:rFonts w:hint="eastAsia" w:eastAsia="仿宋_GB2312"/>
          <w:color w:val="0D0D0D"/>
          <w:sz w:val="28"/>
          <w:szCs w:val="32"/>
        </w:rPr>
        <w:t>9.1.2无法及时补足磋商小组成员的，采购人将停止评审活动，封存所有资料，依法重新组建磋商小组进行评审。原磋商小组所作出的评审意见无效。</w:t>
      </w:r>
    </w:p>
    <w:p w14:paraId="09556292">
      <w:pPr>
        <w:spacing w:line="560" w:lineRule="exact"/>
        <w:outlineLvl w:val="2"/>
        <w:rPr>
          <w:rFonts w:eastAsia="楷体_GB2312"/>
          <w:b/>
          <w:color w:val="0D0D0D"/>
          <w:sz w:val="28"/>
          <w:szCs w:val="32"/>
        </w:rPr>
      </w:pPr>
      <w:r>
        <w:rPr>
          <w:rFonts w:hint="eastAsia" w:eastAsia="楷体_GB2312"/>
          <w:b/>
          <w:color w:val="0D0D0D"/>
          <w:sz w:val="28"/>
          <w:szCs w:val="32"/>
        </w:rPr>
        <w:t>9.2异常低价审查</w:t>
      </w:r>
    </w:p>
    <w:p w14:paraId="50AD3F73">
      <w:pPr>
        <w:spacing w:line="500" w:lineRule="exact"/>
        <w:ind w:firstLine="560"/>
        <w:rPr>
          <w:rFonts w:eastAsia="仿宋_GB2312"/>
          <w:color w:val="0D0D0D"/>
          <w:sz w:val="28"/>
          <w:szCs w:val="32"/>
        </w:rPr>
      </w:pPr>
      <w:r>
        <w:rPr>
          <w:rFonts w:hint="eastAsia" w:eastAsia="仿宋_GB2312"/>
          <w:color w:val="0D0D0D"/>
          <w:sz w:val="28"/>
          <w:szCs w:val="32"/>
        </w:rPr>
        <w:t xml:space="preserve">（1）评审过程中出现下列情形之一的，磋商小组应当启动异常低价投标（响应）审查程序： </w:t>
      </w:r>
    </w:p>
    <w:p w14:paraId="1B93949F">
      <w:pPr>
        <w:spacing w:line="500" w:lineRule="exact"/>
        <w:ind w:firstLine="560"/>
        <w:rPr>
          <w:rFonts w:eastAsia="仿宋_GB2312"/>
          <w:color w:val="0D0D0D"/>
          <w:sz w:val="28"/>
          <w:szCs w:val="32"/>
        </w:rPr>
      </w:pPr>
      <w:r>
        <w:rPr>
          <w:rFonts w:hint="eastAsia" w:eastAsia="仿宋_GB2312"/>
          <w:color w:val="0D0D0D"/>
          <w:sz w:val="28"/>
          <w:szCs w:val="32"/>
        </w:rPr>
        <w:t xml:space="preserve">①投标（响应）报价低于采购项目预算50%的，即投标（响应）报价&lt;采购项目预算×50% ； </w:t>
      </w:r>
    </w:p>
    <w:p w14:paraId="1160B8AC">
      <w:pPr>
        <w:spacing w:line="500" w:lineRule="exact"/>
        <w:ind w:firstLine="560"/>
        <w:rPr>
          <w:rFonts w:eastAsia="仿宋_GB2312"/>
          <w:color w:val="0D0D0D"/>
          <w:sz w:val="28"/>
          <w:szCs w:val="32"/>
        </w:rPr>
      </w:pPr>
      <w:r>
        <w:rPr>
          <w:rFonts w:hint="eastAsia" w:eastAsia="仿宋_GB2312"/>
          <w:color w:val="0D0D0D"/>
          <w:sz w:val="28"/>
          <w:szCs w:val="32"/>
        </w:rPr>
        <w:t xml:space="preserve">②投标（响应）报价低于采购项目最高限价45%的，即投标（响应）报价&lt;采购项目最高限价×45% ； </w:t>
      </w:r>
    </w:p>
    <w:p w14:paraId="309814AD">
      <w:pPr>
        <w:spacing w:line="500" w:lineRule="exact"/>
        <w:ind w:firstLine="560"/>
        <w:rPr>
          <w:rFonts w:eastAsia="仿宋_GB2312"/>
          <w:color w:val="0D0D0D"/>
          <w:sz w:val="28"/>
          <w:szCs w:val="32"/>
        </w:rPr>
      </w:pPr>
      <w:r>
        <w:rPr>
          <w:rFonts w:hint="eastAsia" w:eastAsia="仿宋_GB2312"/>
          <w:color w:val="0D0D0D"/>
          <w:sz w:val="28"/>
          <w:szCs w:val="32"/>
        </w:rPr>
        <w:t xml:space="preserve">③磋商小组认定的供应商报价过低、有可能影响产品质量或者不能诚信履约的其他情形。 </w:t>
      </w:r>
    </w:p>
    <w:p w14:paraId="4961D9AD">
      <w:pPr>
        <w:spacing w:line="500" w:lineRule="exact"/>
        <w:ind w:firstLine="560"/>
        <w:rPr>
          <w:rFonts w:eastAsia="仿宋_GB2312"/>
          <w:color w:val="0D0D0D"/>
          <w:sz w:val="28"/>
          <w:szCs w:val="32"/>
        </w:rPr>
      </w:pPr>
      <w:r>
        <w:rPr>
          <w:rFonts w:hint="eastAsia" w:eastAsia="仿宋_GB2312"/>
          <w:color w:val="0D0D0D"/>
          <w:sz w:val="28"/>
          <w:szCs w:val="32"/>
        </w:rPr>
        <w:t>（2）启动异常低价投标（响应）审查后，磋商小组会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并在评审报告中进行记录。</w:t>
      </w:r>
    </w:p>
    <w:p w14:paraId="78AFD206">
      <w:pPr>
        <w:spacing w:line="560" w:lineRule="exact"/>
        <w:outlineLvl w:val="2"/>
        <w:rPr>
          <w:rFonts w:eastAsia="楷体_GB2312"/>
          <w:b/>
          <w:color w:val="0D0D0D"/>
          <w:sz w:val="28"/>
          <w:szCs w:val="32"/>
        </w:rPr>
      </w:pPr>
      <w:r>
        <w:rPr>
          <w:rFonts w:hint="eastAsia" w:eastAsia="楷体_GB2312"/>
          <w:b/>
          <w:color w:val="0D0D0D"/>
          <w:sz w:val="28"/>
          <w:szCs w:val="32"/>
        </w:rPr>
        <w:t>9.3争议解决</w:t>
      </w:r>
    </w:p>
    <w:p w14:paraId="090DA9D2">
      <w:pPr>
        <w:spacing w:line="500" w:lineRule="exact"/>
        <w:ind w:firstLine="560"/>
        <w:rPr>
          <w:rFonts w:eastAsia="仿宋_GB2312"/>
          <w:color w:val="0D0D0D"/>
          <w:sz w:val="28"/>
          <w:szCs w:val="32"/>
        </w:rPr>
      </w:pPr>
      <w:r>
        <w:rPr>
          <w:rFonts w:hint="eastAsia" w:eastAsia="仿宋_GB2312"/>
          <w:color w:val="0D0D0D"/>
          <w:sz w:val="28"/>
          <w:szCs w:val="32"/>
        </w:rPr>
        <w:t>磋商小组成员对需要共同认定的事项存在争议的，按照少数服从多数的原则作出结论。持不同意见的成员须在评审报告上签署不同意见及理由。</w:t>
      </w:r>
    </w:p>
    <w:p w14:paraId="1E17BAFD">
      <w:pPr>
        <w:spacing w:line="560" w:lineRule="exact"/>
        <w:outlineLvl w:val="2"/>
        <w:rPr>
          <w:rFonts w:eastAsia="楷体_GB2312"/>
          <w:b/>
          <w:color w:val="0D0D0D"/>
          <w:sz w:val="28"/>
          <w:szCs w:val="32"/>
        </w:rPr>
      </w:pPr>
      <w:r>
        <w:rPr>
          <w:rFonts w:hint="eastAsia" w:eastAsia="楷体_GB2312"/>
          <w:b/>
          <w:color w:val="0D0D0D"/>
          <w:sz w:val="28"/>
          <w:szCs w:val="32"/>
        </w:rPr>
        <w:t>9.4评审终止</w:t>
      </w:r>
    </w:p>
    <w:p w14:paraId="5B179F39">
      <w:pPr>
        <w:spacing w:line="500" w:lineRule="exact"/>
        <w:ind w:firstLine="560"/>
        <w:rPr>
          <w:rFonts w:eastAsia="仿宋_GB2312"/>
          <w:color w:val="0D0D0D"/>
          <w:sz w:val="28"/>
          <w:szCs w:val="32"/>
        </w:rPr>
      </w:pPr>
      <w:r>
        <w:rPr>
          <w:rFonts w:hint="eastAsia" w:eastAsia="仿宋_GB2312"/>
          <w:color w:val="0D0D0D"/>
          <w:sz w:val="28"/>
          <w:szCs w:val="32"/>
        </w:rPr>
        <w:t>磋商小组发现采购文件存在歧义、重大缺陷导致评审工作无法进行，或者采购文件内容违反国家有关强制性规定的，应当停止评审工作，与采购人沟通并作书面记录。采购人确认后，终止评审活动。</w:t>
      </w:r>
    </w:p>
    <w:p w14:paraId="08B8729B">
      <w:pPr>
        <w:spacing w:line="560" w:lineRule="exact"/>
        <w:outlineLvl w:val="2"/>
        <w:rPr>
          <w:rFonts w:eastAsia="楷体_GB2312"/>
          <w:b/>
          <w:color w:val="0D0D0D"/>
          <w:sz w:val="28"/>
          <w:szCs w:val="32"/>
        </w:rPr>
      </w:pPr>
      <w:r>
        <w:rPr>
          <w:rFonts w:hint="eastAsia" w:eastAsia="楷体_GB2312"/>
          <w:b/>
          <w:color w:val="0D0D0D"/>
          <w:sz w:val="28"/>
          <w:szCs w:val="32"/>
        </w:rPr>
        <w:t>9.5得分相同</w:t>
      </w:r>
    </w:p>
    <w:p w14:paraId="60F4B04F">
      <w:pPr>
        <w:spacing w:line="500" w:lineRule="exact"/>
        <w:ind w:firstLine="560"/>
        <w:rPr>
          <w:rFonts w:eastAsia="仿宋_GB2312"/>
          <w:color w:val="0D0D0D"/>
          <w:sz w:val="28"/>
          <w:szCs w:val="32"/>
        </w:rPr>
      </w:pPr>
      <w:r>
        <w:rPr>
          <w:rFonts w:hint="eastAsia" w:eastAsia="仿宋_GB2312"/>
          <w:color w:val="0D0D0D"/>
          <w:sz w:val="28"/>
          <w:szCs w:val="32"/>
        </w:rPr>
        <w:t>评审得分相同的，最后报价低的优先；评审得分且最后报价相同的，技术指标得分高的优先；评审得分、最后报价和技术指标得分均相同的，采购人随机抽取方式确定。</w:t>
      </w:r>
    </w:p>
    <w:p w14:paraId="71C9DD1C">
      <w:pPr>
        <w:spacing w:line="560" w:lineRule="exact"/>
        <w:outlineLvl w:val="2"/>
        <w:rPr>
          <w:rFonts w:eastAsia="楷体_GB2312"/>
          <w:b/>
          <w:color w:val="0D0D0D"/>
          <w:sz w:val="28"/>
          <w:szCs w:val="32"/>
        </w:rPr>
      </w:pPr>
      <w:r>
        <w:rPr>
          <w:rFonts w:hint="eastAsia" w:eastAsia="楷体_GB2312"/>
          <w:b/>
          <w:color w:val="0D0D0D"/>
          <w:sz w:val="28"/>
          <w:szCs w:val="32"/>
        </w:rPr>
        <w:t>9.6评审报告签署</w:t>
      </w:r>
    </w:p>
    <w:p w14:paraId="297803ED">
      <w:pPr>
        <w:spacing w:line="500" w:lineRule="exact"/>
        <w:ind w:firstLine="560"/>
        <w:rPr>
          <w:rFonts w:eastAsia="仿宋_GB2312"/>
          <w:color w:val="0D0D0D"/>
          <w:sz w:val="28"/>
          <w:szCs w:val="32"/>
        </w:rPr>
      </w:pPr>
      <w:r>
        <w:rPr>
          <w:rFonts w:hint="eastAsia" w:eastAsia="仿宋_GB2312"/>
          <w:color w:val="0D0D0D"/>
          <w:sz w:val="28"/>
          <w:szCs w:val="32"/>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2C0617F7">
      <w:pPr>
        <w:spacing w:line="560" w:lineRule="exact"/>
        <w:outlineLvl w:val="1"/>
        <w:rPr>
          <w:rFonts w:eastAsia="黑体"/>
          <w:b/>
          <w:color w:val="0D0D0D"/>
          <w:sz w:val="28"/>
          <w:szCs w:val="32"/>
        </w:rPr>
      </w:pPr>
      <w:r>
        <w:rPr>
          <w:rFonts w:hint="eastAsia" w:eastAsia="黑体"/>
          <w:b/>
          <w:color w:val="0D0D0D"/>
          <w:sz w:val="28"/>
          <w:szCs w:val="32"/>
        </w:rPr>
        <w:t>10.</w:t>
      </w:r>
      <w:r>
        <w:rPr>
          <w:rFonts w:hint="eastAsia" w:hAnsi="黑体" w:eastAsia="黑体"/>
          <w:b/>
          <w:color w:val="0D0D0D"/>
          <w:sz w:val="28"/>
          <w:szCs w:val="32"/>
        </w:rPr>
        <w:t>判定无效响应的规定</w:t>
      </w:r>
    </w:p>
    <w:p w14:paraId="5E8F1402">
      <w:pPr>
        <w:spacing w:line="560" w:lineRule="exact"/>
        <w:rPr>
          <w:rFonts w:eastAsia="楷体_GB2312"/>
          <w:b/>
          <w:color w:val="0D0D0D"/>
          <w:sz w:val="28"/>
          <w:szCs w:val="32"/>
        </w:rPr>
      </w:pPr>
      <w:r>
        <w:rPr>
          <w:rFonts w:hint="eastAsia" w:eastAsia="楷体_GB2312"/>
          <w:b/>
          <w:color w:val="0D0D0D"/>
          <w:sz w:val="28"/>
          <w:szCs w:val="32"/>
        </w:rPr>
        <w:t>10.1响应文件开启过程中，有下列情形之一的，作无效响应处理。</w:t>
      </w:r>
    </w:p>
    <w:p w14:paraId="7472C9CF">
      <w:pPr>
        <w:spacing w:line="500" w:lineRule="exact"/>
        <w:ind w:firstLine="560" w:firstLineChars="200"/>
        <w:rPr>
          <w:rFonts w:eastAsia="仿宋_GB2312"/>
          <w:color w:val="0D0D0D"/>
          <w:sz w:val="28"/>
          <w:szCs w:val="32"/>
        </w:rPr>
      </w:pPr>
      <w:r>
        <w:rPr>
          <w:rFonts w:hint="eastAsia" w:eastAsia="仿宋_GB2312"/>
          <w:color w:val="0D0D0D"/>
          <w:sz w:val="28"/>
          <w:szCs w:val="32"/>
        </w:rPr>
        <w:t>10.1.1响应文件无法解密；</w:t>
      </w:r>
    </w:p>
    <w:p w14:paraId="47EAD1D1">
      <w:pPr>
        <w:spacing w:line="500" w:lineRule="exact"/>
        <w:ind w:firstLine="560" w:firstLineChars="200"/>
        <w:rPr>
          <w:rFonts w:eastAsia="仿宋_GB2312"/>
          <w:color w:val="0D0D0D"/>
          <w:sz w:val="28"/>
          <w:szCs w:val="32"/>
        </w:rPr>
      </w:pPr>
      <w:r>
        <w:rPr>
          <w:rFonts w:hint="eastAsia" w:eastAsia="仿宋_GB2312"/>
          <w:color w:val="0D0D0D"/>
          <w:sz w:val="28"/>
          <w:szCs w:val="32"/>
        </w:rPr>
        <w:t>10.1.2响应文件未在规定的时间内解密成功。</w:t>
      </w:r>
    </w:p>
    <w:p w14:paraId="39F1462A">
      <w:pPr>
        <w:spacing w:line="560" w:lineRule="exact"/>
        <w:rPr>
          <w:rFonts w:eastAsia="楷体_GB2312"/>
          <w:b/>
          <w:color w:val="0D0D0D"/>
          <w:sz w:val="28"/>
          <w:szCs w:val="32"/>
        </w:rPr>
      </w:pPr>
      <w:r>
        <w:rPr>
          <w:rFonts w:hint="eastAsia" w:eastAsia="楷体_GB2312"/>
          <w:b/>
          <w:color w:val="0D0D0D"/>
          <w:sz w:val="28"/>
          <w:szCs w:val="32"/>
        </w:rPr>
        <w:t>10.2资格审查结果为不合格的，作无效响应处理。</w:t>
      </w:r>
    </w:p>
    <w:p w14:paraId="2A3E3905">
      <w:pPr>
        <w:spacing w:line="560" w:lineRule="exact"/>
        <w:rPr>
          <w:rFonts w:eastAsia="楷体_GB2312"/>
          <w:b/>
          <w:color w:val="0D0D0D"/>
          <w:sz w:val="28"/>
          <w:szCs w:val="32"/>
        </w:rPr>
      </w:pPr>
      <w:r>
        <w:rPr>
          <w:rFonts w:hint="eastAsia" w:eastAsia="楷体_GB2312"/>
          <w:b/>
          <w:color w:val="0D0D0D"/>
          <w:sz w:val="28"/>
          <w:szCs w:val="32"/>
        </w:rPr>
        <w:t>10.3评审过程中，有下列情形之一的，作无效响应处理。</w:t>
      </w:r>
    </w:p>
    <w:p w14:paraId="3D9BA97D">
      <w:pPr>
        <w:spacing w:line="500" w:lineRule="exact"/>
        <w:ind w:firstLine="560" w:firstLineChars="200"/>
        <w:rPr>
          <w:rFonts w:eastAsia="仿宋_GB2312"/>
          <w:color w:val="0D0D0D"/>
          <w:sz w:val="28"/>
          <w:szCs w:val="32"/>
        </w:rPr>
      </w:pPr>
      <w:r>
        <w:rPr>
          <w:rFonts w:hint="eastAsia" w:eastAsia="仿宋_GB2312"/>
          <w:color w:val="0D0D0D"/>
          <w:sz w:val="28"/>
          <w:szCs w:val="32"/>
        </w:rPr>
        <w:t>10.3.1未按照磋商小组要求提供书面说明及相关证明材料证明其报价合理性的；</w:t>
      </w:r>
    </w:p>
    <w:p w14:paraId="5E76BE8D">
      <w:pPr>
        <w:spacing w:line="500" w:lineRule="exact"/>
        <w:ind w:firstLine="560"/>
        <w:outlineLvl w:val="2"/>
        <w:rPr>
          <w:rFonts w:eastAsia="仿宋_GB2312"/>
          <w:color w:val="0D0D0D"/>
          <w:sz w:val="28"/>
          <w:szCs w:val="32"/>
        </w:rPr>
      </w:pPr>
      <w:r>
        <w:rPr>
          <w:rFonts w:hint="eastAsia" w:eastAsia="仿宋_GB2312"/>
          <w:color w:val="0D0D0D"/>
          <w:sz w:val="28"/>
          <w:szCs w:val="32"/>
        </w:rPr>
        <w:t>10.3.2响应文件含有采购人不能接受的附加条件的。</w:t>
      </w:r>
    </w:p>
    <w:p w14:paraId="0B19D897">
      <w:pPr>
        <w:spacing w:line="560" w:lineRule="exact"/>
        <w:outlineLvl w:val="3"/>
        <w:rPr>
          <w:rFonts w:eastAsia="楷体_GB2312"/>
          <w:b/>
          <w:color w:val="0D0D0D"/>
          <w:sz w:val="28"/>
          <w:szCs w:val="32"/>
        </w:rPr>
      </w:pPr>
      <w:r>
        <w:rPr>
          <w:rFonts w:hint="eastAsia" w:eastAsia="楷体_GB2312"/>
          <w:b/>
          <w:color w:val="0D0D0D"/>
          <w:sz w:val="28"/>
          <w:szCs w:val="32"/>
        </w:rPr>
        <w:t>10.4法律、法规规定的其他无效响应情形。</w:t>
      </w:r>
    </w:p>
    <w:p w14:paraId="3CCE8557"/>
    <w:p w14:paraId="716CA133">
      <w:pPr>
        <w:widowControl/>
        <w:spacing w:line="500" w:lineRule="exact"/>
        <w:jc w:val="center"/>
        <w:outlineLvl w:val="0"/>
        <w:rPr>
          <w:rFonts w:ascii="方正小标宋简体" w:hAnsi="方正小标宋简体" w:eastAsia="方正小标宋简体" w:cs="方正小标宋简体"/>
          <w:bCs/>
          <w:sz w:val="44"/>
          <w:szCs w:val="44"/>
        </w:rPr>
      </w:pPr>
      <w:bookmarkStart w:id="150" w:name="_Toc23712"/>
      <w:bookmarkStart w:id="151" w:name="_Toc9649"/>
      <w:bookmarkStart w:id="152" w:name="_Toc10559"/>
      <w:bookmarkStart w:id="153" w:name="_Toc513029243"/>
      <w:bookmarkStart w:id="154" w:name="_Toc4149"/>
      <w:bookmarkStart w:id="155" w:name="_Toc16938559"/>
      <w:bookmarkStart w:id="156" w:name="_Toc22986"/>
      <w:bookmarkStart w:id="157" w:name="_Toc20823315"/>
      <w:r>
        <w:rPr>
          <w:rFonts w:eastAsia="方正小标宋_GBK" w:cs="黑体"/>
          <w:color w:val="0D0D0D"/>
          <w:sz w:val="44"/>
          <w:szCs w:val="44"/>
        </w:rPr>
        <w:br w:type="page" w:clear="all"/>
      </w:r>
      <w:bookmarkEnd w:id="150"/>
      <w:bookmarkEnd w:id="151"/>
      <w:bookmarkEnd w:id="152"/>
      <w:bookmarkEnd w:id="153"/>
      <w:bookmarkEnd w:id="154"/>
      <w:bookmarkEnd w:id="155"/>
      <w:bookmarkEnd w:id="156"/>
      <w:bookmarkEnd w:id="157"/>
      <w:r>
        <w:rPr>
          <w:rFonts w:hint="eastAsia" w:ascii="方正小标宋简体" w:hAnsi="方正小标宋简体" w:eastAsia="方正小标宋简体" w:cs="方正小标宋简体"/>
          <w:bCs/>
          <w:sz w:val="44"/>
          <w:szCs w:val="44"/>
        </w:rPr>
        <w:t>第四章  合同条款</w:t>
      </w:r>
      <w:bookmarkStart w:id="158" w:name="_Toc383587505"/>
      <w:bookmarkStart w:id="159" w:name="_Toc382812295"/>
      <w:bookmarkStart w:id="160" w:name="_Toc383626041"/>
      <w:bookmarkStart w:id="161" w:name="_Toc383623992"/>
      <w:bookmarkStart w:id="162" w:name="_Toc390246952"/>
      <w:bookmarkStart w:id="163" w:name="_Toc390099065"/>
      <w:bookmarkStart w:id="164" w:name="_Toc120614222"/>
      <w:bookmarkStart w:id="165" w:name="_Toc383698694"/>
      <w:bookmarkStart w:id="166" w:name="_Toc382811181"/>
      <w:bookmarkStart w:id="167" w:name="_Toc383623720"/>
      <w:bookmarkStart w:id="168" w:name="_Toc425871366"/>
      <w:bookmarkStart w:id="169" w:name="_Toc383679794"/>
      <w:bookmarkStart w:id="170" w:name="_Toc390098887"/>
      <w:bookmarkStart w:id="171" w:name="_Toc382812484"/>
      <w:bookmarkStart w:id="172" w:name="_Toc382813933"/>
      <w:bookmarkStart w:id="173" w:name="_Toc282446296"/>
      <w:bookmarkStart w:id="174" w:name="_Toc288030332"/>
      <w:bookmarkStart w:id="175" w:name="_Toc382811586"/>
      <w:bookmarkStart w:id="176" w:name="_Toc382814014"/>
    </w:p>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14:paraId="6DE69007">
      <w:pPr>
        <w:adjustRightInd w:val="0"/>
        <w:snapToGrid w:val="0"/>
        <w:spacing w:line="560" w:lineRule="exact"/>
        <w:ind w:firstLine="560" w:firstLineChars="200"/>
        <w:rPr>
          <w:rFonts w:ascii="黑体" w:hAnsi="黑体" w:eastAsia="黑体" w:cs="黑体"/>
          <w:bCs/>
          <w:sz w:val="28"/>
          <w:szCs w:val="32"/>
        </w:rPr>
      </w:pPr>
    </w:p>
    <w:p w14:paraId="4FA1E9AB">
      <w:pPr>
        <w:adjustRightInd w:val="0"/>
        <w:snapToGrid w:val="0"/>
        <w:spacing w:line="560" w:lineRule="exact"/>
        <w:ind w:firstLine="560" w:firstLineChars="200"/>
        <w:rPr>
          <w:rFonts w:ascii="黑体" w:hAnsi="黑体" w:eastAsia="黑体" w:cs="黑体"/>
          <w:bCs/>
          <w:sz w:val="28"/>
          <w:szCs w:val="32"/>
        </w:rPr>
      </w:pPr>
      <w:r>
        <w:rPr>
          <w:rFonts w:hint="eastAsia" w:ascii="黑体" w:hAnsi="黑体" w:eastAsia="黑体" w:cs="黑体"/>
          <w:bCs/>
          <w:sz w:val="28"/>
          <w:szCs w:val="32"/>
        </w:rPr>
        <w:t>一、通用合同条款部分</w:t>
      </w:r>
    </w:p>
    <w:p w14:paraId="4AE3E81D">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1、定义</w:t>
      </w:r>
    </w:p>
    <w:p w14:paraId="244C74D5">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本合同中的下列术语应解释为：</w:t>
      </w:r>
    </w:p>
    <w:p w14:paraId="242AD01E">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（1）“合同”系指买方、见证方与卖方签署的、合同格式中载明的买方与卖方所达成的协议，包括所有的附件、附录和构成合同的所有文件。</w:t>
      </w:r>
    </w:p>
    <w:p w14:paraId="197EE658">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（2）“合同价”系指根据合同规定，卖方在正确地完全履行合同义务后买方应支付给卖方的价格。</w:t>
      </w:r>
    </w:p>
    <w:p w14:paraId="34577079">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（3）“服务”系指根据合同规定卖方承担与供货有关所有的辅助服务，如运输、保险以及其它的伴随服务，比如安装、调试、测试、提供技术服务、培训和其他所有的卖方应承担的义务。</w:t>
      </w:r>
    </w:p>
    <w:p w14:paraId="198295C5">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（4）“买方”系指购买服务的</w:t>
      </w:r>
      <w:r>
        <w:rPr>
          <w:color w:val="FF0000"/>
          <w:u w:val="single" w:color="FF0000"/>
        </w:rPr>
        <w:t xml:space="preserve"> 泰兴市文化博览中心</w:t>
      </w:r>
      <w:r>
        <w:rPr>
          <w:color w:val="FF0000"/>
        </w:rPr>
        <w:t xml:space="preserve"> </w:t>
      </w:r>
      <w:r>
        <w:t>。</w:t>
      </w:r>
      <w:r>
        <w:rPr>
          <w:rFonts w:hint="eastAsia" w:ascii="仿宋_GB2312" w:eastAsia="仿宋_GB2312"/>
          <w:sz w:val="28"/>
          <w:szCs w:val="32"/>
        </w:rPr>
        <w:t xml:space="preserve">        </w:t>
      </w:r>
    </w:p>
    <w:p w14:paraId="41B868CE">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（5）“卖方”系指提供服务的中标供应商。</w:t>
      </w:r>
    </w:p>
    <w:p w14:paraId="5A997030">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（6）“见证方”系指招标人。</w:t>
      </w:r>
    </w:p>
    <w:p w14:paraId="4B71DAF9">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（7）“采购人”系指购买服务的</w:t>
      </w:r>
      <w:r>
        <w:rPr>
          <w:color w:val="FF0000"/>
          <w:u w:val="single" w:color="FF0000"/>
        </w:rPr>
        <w:t xml:space="preserve"> 泰兴市文化博览中心</w:t>
      </w:r>
      <w:r>
        <w:rPr>
          <w:color w:val="FF0000"/>
        </w:rPr>
        <w:t xml:space="preserve"> </w:t>
      </w:r>
      <w:r>
        <w:rPr>
          <w:rFonts w:hint="eastAsia" w:ascii="仿宋_GB2312" w:eastAsia="仿宋_GB2312"/>
          <w:sz w:val="28"/>
          <w:szCs w:val="32"/>
        </w:rPr>
        <w:t>。</w:t>
      </w:r>
    </w:p>
    <w:p w14:paraId="69EA4DC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2、技术规范</w:t>
      </w:r>
    </w:p>
    <w:p w14:paraId="5CB5FA5E">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卖方所提供服务的技术规格、内容应与招标文件规定的业务要求相一致；若技术性能无相应说明，则按国家有关部门最新颁布的标准及规范为准。</w:t>
      </w:r>
    </w:p>
    <w:p w14:paraId="4C52E1C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3、专利权及版权</w:t>
      </w:r>
    </w:p>
    <w:p w14:paraId="22ABA1C0">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p>
    <w:p w14:paraId="2D690729">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4、付款方式</w:t>
      </w:r>
    </w:p>
    <w:p w14:paraId="31448384">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4.1本合同以人民币付款。</w:t>
      </w:r>
    </w:p>
    <w:p w14:paraId="2C762DB4">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4.2付款方式见合同专用条款。</w:t>
      </w:r>
    </w:p>
    <w:p w14:paraId="4CC4288F">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5、伴随服务</w:t>
      </w:r>
    </w:p>
    <w:p w14:paraId="1C54CB7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5.1卖方应按照投标文件的承诺和合同中所附的服务承诺提供服务。</w:t>
      </w:r>
    </w:p>
    <w:p w14:paraId="7C0D918D">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5.2 除本章第5.1条规定外，卖方还应提供下列服务：</w:t>
      </w:r>
    </w:p>
    <w:p w14:paraId="2F95D6D1">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 服务的现场质量管理与监督；</w:t>
      </w:r>
    </w:p>
    <w:p w14:paraId="225EEEDD">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 提供服务和维护所需的工具；</w:t>
      </w:r>
    </w:p>
    <w:p w14:paraId="2EFE4D15">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(3)在合同中卖方承诺的期限内对所提供服务实施运行监督、维护，但前提条件是该服务并不能免除卖方在质量保证期内应承担的义务；</w:t>
      </w:r>
    </w:p>
    <w:p w14:paraId="6CDFEC54">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(4) 对服务人员进行培训。</w:t>
      </w:r>
    </w:p>
    <w:p w14:paraId="657A3A37">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5.3 伴随服务的费用应含在合同价中，不单独进行支付。</w:t>
      </w:r>
    </w:p>
    <w:p w14:paraId="1D1838CF">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6、质量保证</w:t>
      </w:r>
    </w:p>
    <w:p w14:paraId="45481519">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6.1投标人所提供服务必须遵守各种国家和部颁标准及有关规定。</w:t>
      </w:r>
    </w:p>
    <w:p w14:paraId="795E26E3">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6.2投标人所提供服务必须达到本招标文件中规定的要求。</w:t>
      </w:r>
    </w:p>
    <w:p w14:paraId="2C06C54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6.3履行本合同的过程中，确因在现有水平和条件下难以克服的技术困难，导致部分或全部达不到招标规定的服务标准，乙方应当承担违约责任。</w:t>
      </w:r>
    </w:p>
    <w:p w14:paraId="1ACA32F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7、不可抗力</w:t>
      </w:r>
    </w:p>
    <w:p w14:paraId="5A1129B5">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7.1尽管有合同条款第11条、12条的规定，如果卖方因不可抗力而导致合同实施延误或不能履行合同义务的话，不应该被没收履约保证金，也不应该承担误期赔偿的责任。</w:t>
      </w:r>
    </w:p>
    <w:p w14:paraId="5F79DCA5">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7.2本条所述的“不可抗力”系指那些卖方无法控制、不可预见的事件，但不包括卖方的违约或疏忽。这些事件包括：战争、严重火灾、洪水、台风、地震以及其它买方和卖方商定的事件。</w:t>
      </w:r>
    </w:p>
    <w:p w14:paraId="61128240">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天以上时，买方有权终止与卖方的合同，买方也可以和卖方通过友好协商在合理的时间内达成进一步履行合同的协议。</w:t>
      </w:r>
    </w:p>
    <w:p w14:paraId="1E1BC910">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8、税费</w:t>
      </w:r>
    </w:p>
    <w:p w14:paraId="2AFD2F4C">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8.1本项目实施过程中发生的一切税费均由卖方负担。</w:t>
      </w:r>
    </w:p>
    <w:p w14:paraId="4E0C513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9、履约保证金</w:t>
      </w:r>
    </w:p>
    <w:p w14:paraId="4993DC28">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9.1中标人与采购人签订政府采购合同前，须提交履约保证金，否则视为放弃中标，给采购人造成损失的，中标人还应当予以赔偿。</w:t>
      </w:r>
    </w:p>
    <w:p w14:paraId="4871C113">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履约保证金的形式：支票、汇票、本票或者金融机构、担保机构出具的保函等非现金形式</w:t>
      </w:r>
    </w:p>
    <w:p w14:paraId="4F08C7E0">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履约保证金的金额：合同价的     %</w:t>
      </w:r>
    </w:p>
    <w:p w14:paraId="1EE8AB47">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9.2如卖方未能履行合同规定的义务，买方有权从履约保证金中取得补偿。</w:t>
      </w:r>
    </w:p>
    <w:p w14:paraId="5EFF8088">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10、仲裁</w:t>
      </w:r>
    </w:p>
    <w:p w14:paraId="0AF2D506">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10.1在执行本合同中所发生的或与本合同有关的一切争端，买方和卖方应通过友好协商的办法进行解决。如从协商开始         天内仍不能解决，应将争端提交有关省、市政府或行业主管部门寻求可能解决的办法。如果提交有关省、市政府或行业主管部门后     天内仍得不到解决，则应申请仲裁。</w:t>
      </w:r>
    </w:p>
    <w:p w14:paraId="20E30513">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10.2仲裁应根据《中华人民共和国仲裁法》的规定向泰州仲裁委员会申请仲裁。</w:t>
      </w:r>
    </w:p>
    <w:p w14:paraId="40465EBA">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10.3仲裁裁决为最终裁决，对买方和卖方均有约束力。</w:t>
      </w:r>
    </w:p>
    <w:p w14:paraId="66ACE195">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10.4在仲裁期间，本合同应继续执行。</w:t>
      </w:r>
    </w:p>
    <w:p w14:paraId="1156ED1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11、违约终止合同</w:t>
      </w:r>
    </w:p>
    <w:p w14:paraId="4ED17A25">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11.1在买方对卖方违约而采取的任何补救措施不受影响的情况下，买方可向卖方发出终止部分或全部合同的书面通知书。</w:t>
      </w:r>
    </w:p>
    <w:p w14:paraId="5547B688">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(1)如果卖方未能按合同规定的期限或买方同意延长的限期内提供部分或全部服务；</w:t>
      </w:r>
    </w:p>
    <w:p w14:paraId="3B32581F">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(2)卖方在收到买方发出的违约通知后     天内，或经买方书面认可延长的时间内未能纠正其过失；</w:t>
      </w:r>
    </w:p>
    <w:p w14:paraId="156B7980">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 xml:space="preserve"> (3)如果卖方未能履行合同规定的其他义务。</w:t>
      </w:r>
    </w:p>
    <w:p w14:paraId="5720EDFA">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p>
    <w:p w14:paraId="25567ECB">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12、破产中止合同</w:t>
      </w:r>
    </w:p>
    <w:p w14:paraId="024AE59A">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12.1如果卖方破产或无清偿能力时，买方在任何时候书面通知卖方中止合同而不给卖方补偿。该中止合同将不损害或影响买方已经或将要采取的补救措施的权利。</w:t>
      </w:r>
    </w:p>
    <w:p w14:paraId="0E56ECBC">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13、转让</w:t>
      </w:r>
    </w:p>
    <w:p w14:paraId="37C4AD16">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13.1除买方事先书面同意外，卖方不得部分转让或全部转让其应履行的合同义务。</w:t>
      </w:r>
    </w:p>
    <w:p w14:paraId="0F30E5BC">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14、合同生效及其它</w:t>
      </w:r>
    </w:p>
    <w:p w14:paraId="61EA0E60">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14.1合同应在买方、卖方、见证方签字，并在卖方向见证方交纳履约保证金后生效。</w:t>
      </w:r>
    </w:p>
    <w:p w14:paraId="6B3651BD">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14.2本合同一式</w:t>
      </w:r>
      <w:r>
        <w:rPr>
          <w:rFonts w:hint="eastAsia" w:ascii="仿宋_GB2312" w:eastAsia="仿宋_GB2312"/>
          <w:sz w:val="28"/>
          <w:szCs w:val="32"/>
          <w:lang w:val="en-US" w:eastAsia="zh-CN"/>
        </w:rPr>
        <w:t>肆</w:t>
      </w:r>
      <w:r>
        <w:rPr>
          <w:rFonts w:hint="eastAsia" w:ascii="仿宋_GB2312" w:eastAsia="仿宋_GB2312"/>
          <w:sz w:val="28"/>
          <w:szCs w:val="32"/>
        </w:rPr>
        <w:t>份，以中文书写，买方</w:t>
      </w:r>
      <w:r>
        <w:rPr>
          <w:rFonts w:hint="eastAsia" w:ascii="仿宋_GB2312" w:eastAsia="仿宋_GB2312"/>
          <w:sz w:val="28"/>
          <w:szCs w:val="32"/>
          <w:lang w:val="en-US" w:eastAsia="zh-CN"/>
        </w:rPr>
        <w:t>贰</w:t>
      </w:r>
      <w:r>
        <w:rPr>
          <w:rFonts w:hint="eastAsia" w:ascii="仿宋_GB2312" w:eastAsia="仿宋_GB2312"/>
          <w:sz w:val="28"/>
          <w:szCs w:val="32"/>
        </w:rPr>
        <w:t>份，卖方、见证方、各执       份。</w:t>
      </w:r>
    </w:p>
    <w:p w14:paraId="1DEAA9D6">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14.3如需修改或补充合同内容，应经买方、卖方、见证方协商一致，签署书面修改或补充协议。该协议将作为本合同不可分割的一部分。</w:t>
      </w:r>
    </w:p>
    <w:p w14:paraId="6D40C829">
      <w:pPr>
        <w:adjustRightInd w:val="0"/>
        <w:snapToGrid w:val="0"/>
        <w:spacing w:line="500" w:lineRule="exact"/>
        <w:ind w:firstLine="560" w:firstLineChars="200"/>
        <w:rPr>
          <w:rFonts w:ascii="仿宋_GB2312" w:eastAsia="仿宋_GB2312"/>
          <w:sz w:val="28"/>
          <w:szCs w:val="32"/>
        </w:rPr>
      </w:pPr>
      <w:r>
        <w:rPr>
          <w:rFonts w:hint="eastAsia" w:ascii="仿宋_GB2312" w:eastAsia="仿宋_GB2312"/>
          <w:sz w:val="28"/>
          <w:szCs w:val="32"/>
        </w:rPr>
        <w:t>14.4本合同应按照中华人民共和国的现行法律进行解释。</w:t>
      </w:r>
    </w:p>
    <w:p w14:paraId="2B926C60">
      <w:pPr>
        <w:adjustRightInd w:val="0"/>
        <w:snapToGrid w:val="0"/>
        <w:spacing w:line="560" w:lineRule="exact"/>
        <w:ind w:firstLine="560" w:firstLineChars="200"/>
        <w:rPr>
          <w:rFonts w:ascii="黑体" w:hAnsi="黑体" w:eastAsia="黑体" w:cs="黑体"/>
          <w:bCs/>
          <w:sz w:val="28"/>
          <w:szCs w:val="32"/>
        </w:rPr>
      </w:pPr>
      <w:r>
        <w:rPr>
          <w:rFonts w:hint="eastAsia" w:ascii="黑体" w:hAnsi="黑体" w:eastAsia="黑体" w:cs="黑体"/>
          <w:bCs/>
          <w:sz w:val="28"/>
          <w:szCs w:val="32"/>
        </w:rPr>
        <w:t>二、专用合同条款部分</w:t>
      </w:r>
    </w:p>
    <w:p w14:paraId="1E6A22AF">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 xml:space="preserve">甲方: </w:t>
      </w:r>
      <w:r>
        <w:t>泰兴市文化博览中心</w:t>
      </w:r>
      <w:r>
        <w:rPr>
          <w:rFonts w:hint="eastAsia" w:ascii="仿宋_GB2312" w:eastAsia="仿宋_GB2312"/>
          <w:sz w:val="28"/>
          <w:szCs w:val="32"/>
        </w:rPr>
        <w:t xml:space="preserve">                          </w:t>
      </w:r>
    </w:p>
    <w:p w14:paraId="68C14FBD">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 xml:space="preserve">乙方:                           </w:t>
      </w:r>
    </w:p>
    <w:p w14:paraId="5B1D0064">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甲乙双方根据政府采购编号                    的         项目采购结果及招标文件的要求,经协商一致,达成如下采购服务合同:</w:t>
      </w:r>
    </w:p>
    <w:p w14:paraId="02A4EA67">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根据《中华人民共和国政府采购法》、《中华人民共和国民法典》和相关行业法律法规等法律法规的规定，甲乙双方按照**的招标结果签订本合同。</w:t>
      </w:r>
    </w:p>
    <w:p w14:paraId="0BC11E61">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一、项目概况</w:t>
      </w:r>
    </w:p>
    <w:p w14:paraId="0AB7221F">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 xml:space="preserve">1.1 项目名称：                       </w:t>
      </w:r>
    </w:p>
    <w:p w14:paraId="2EA4B02F">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 xml:space="preserve">1.2 项目地点：                       </w:t>
      </w:r>
    </w:p>
    <w:p w14:paraId="7F07B6BE">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 xml:space="preserve">1.3 项目内容：                       </w:t>
      </w:r>
    </w:p>
    <w:p w14:paraId="65FA8EC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 xml:space="preserve">1.4 合同价款：                        </w:t>
      </w:r>
    </w:p>
    <w:p w14:paraId="58438C81">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二．定义</w:t>
      </w:r>
    </w:p>
    <w:p w14:paraId="32721D83">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l“合同”系指甲方和乙方（以下简称合同双方）签署的、合同格式中列明的合同双方所达成的协议，包括所有的附件、附录、招标、投标文件全部内容及对招、投标文件书面修正、澄清的内容等以及构成合同的所有文件。</w:t>
      </w:r>
    </w:p>
    <w:p w14:paraId="5EE2EC9A">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2.2“合同价格”系指根据合同规定，在乙方全面正确地履行合同义务后甲方应支付给乙方的价格。</w:t>
      </w:r>
    </w:p>
    <w:p w14:paraId="429BAAC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2.3“甲方”系指采购人。</w:t>
      </w:r>
    </w:p>
    <w:p w14:paraId="68F2B40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2.4“乙方”系指中标人。</w:t>
      </w:r>
    </w:p>
    <w:p w14:paraId="41F0A145">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 xml:space="preserve"> 三．适用范围</w:t>
      </w:r>
    </w:p>
    <w:p w14:paraId="4767A729">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3.l本合同条款适用于本次招标项目。</w:t>
      </w:r>
    </w:p>
    <w:p w14:paraId="6E84BA97">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四. 服务工作执行技术标准、验收标准及工期：</w:t>
      </w:r>
    </w:p>
    <w:p w14:paraId="74F725DE">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1、技术标准与招标文件一致。</w:t>
      </w:r>
    </w:p>
    <w:p w14:paraId="4874AEF5">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2、验收时间及标准：</w:t>
      </w:r>
    </w:p>
    <w:p w14:paraId="3F68C9D7">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3、项目履行期限：</w:t>
      </w:r>
    </w:p>
    <w:p w14:paraId="321418F8">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五.项目经费来源、价款以及支付方式</w:t>
      </w:r>
    </w:p>
    <w:p w14:paraId="480EB018">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 xml:space="preserve">1、经费来源： </w:t>
      </w:r>
    </w:p>
    <w:p w14:paraId="768665ED">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 xml:space="preserve">2、项目价款： </w:t>
      </w:r>
    </w:p>
    <w:p w14:paraId="1D0133CE">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⑴ ***</w:t>
      </w:r>
    </w:p>
    <w:p w14:paraId="522D1F4E">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⑵ ***</w:t>
      </w:r>
    </w:p>
    <w:p w14:paraId="2816D964">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 xml:space="preserve">3、支付方式、时间、条件： </w:t>
      </w:r>
    </w:p>
    <w:p w14:paraId="0F9E93F1">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4、方案编制以及审批过程中产生的所有费用均由编制单位承担。</w:t>
      </w:r>
    </w:p>
    <w:p w14:paraId="519E4A6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六、甲方的义务</w:t>
      </w:r>
    </w:p>
    <w:p w14:paraId="40987688">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1、负责本项目的组织协商，配合乙方做好相关资料收集和准备工作。</w:t>
      </w:r>
    </w:p>
    <w:p w14:paraId="34080C95">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2、足额向乙方支付经费。</w:t>
      </w:r>
    </w:p>
    <w:p w14:paraId="33D78D6A">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七、乙方义务</w:t>
      </w:r>
    </w:p>
    <w:p w14:paraId="6F58FAD0">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严格按照甲方的委托要求独立开展工作，并保证及时高质量完成甲方委托任务，具体事项有：</w:t>
      </w:r>
    </w:p>
    <w:p w14:paraId="439AFF90">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w:t>
      </w:r>
    </w:p>
    <w:p w14:paraId="2C4B16D9">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 （如有，另行协商）。</w:t>
      </w:r>
    </w:p>
    <w:p w14:paraId="57B84D03">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八、本合同涉及的本项目成果的所有权、使用权和著作权归甲方所有。</w:t>
      </w:r>
    </w:p>
    <w:p w14:paraId="546F3F2F">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九、履约保证金</w:t>
      </w:r>
    </w:p>
    <w:p w14:paraId="4AD7D8C6">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 xml:space="preserve"> 1、中标人与采购人签订政府采购合同前，须提交履约保证金，否则视为放弃中标，给采购人造成损失的，中标人还应当予以赔偿。</w:t>
      </w:r>
    </w:p>
    <w:p w14:paraId="55A3F095">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履约保证金的形式：支票、汇票、本票或者金融机构、担保机构出具的保函等非现金形式</w:t>
      </w:r>
    </w:p>
    <w:p w14:paraId="0D515701">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履约保证金的金额：合同价的              %</w:t>
      </w:r>
    </w:p>
    <w:p w14:paraId="048370CC">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 xml:space="preserve">    履约保证金退还方式、时间、条件：</w:t>
      </w:r>
    </w:p>
    <w:p w14:paraId="418AF4C3">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2、如卖方未能履行合同规定的义务，买方有权从履约保证金中取得补偿。</w:t>
      </w:r>
    </w:p>
    <w:p w14:paraId="0ADCAE97">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3、乙方由于过错而导致支付违约金和赔偿损失时可由履约保证金抵顶支付；当违约金和赔偿金额超过履约保证金时，甲方可追偿超过履约保证金的部分。</w:t>
      </w:r>
    </w:p>
    <w:p w14:paraId="4F2290D9">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十．不可抗力</w:t>
      </w:r>
    </w:p>
    <w:p w14:paraId="7C1BC54C">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1.签约双方任一方由于受诸如战争、严重火灾、洪水、台风、地震等不可抗力事故的影响而不能执行合同时，履行合同的期限应予以延长，延长的期限应相当于事故所影响的时间。</w:t>
      </w:r>
    </w:p>
    <w:p w14:paraId="506CE719">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2.受阻一方应在不可抗力事故发生后尽快用电报、传真或电传通知对方，并于事故发生后 天内将有关当局出具的证明文件用特快专递寄给对方审阅确认。一旦不可抗力事故的影响持续  天以上，双方（或三方）应通过友好协商在合理的时间内达成是否继续履行合同的协议。</w:t>
      </w:r>
    </w:p>
    <w:p w14:paraId="7CEA98E6">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十一．税费</w:t>
      </w:r>
    </w:p>
    <w:p w14:paraId="4EF8A23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1.与履行本合同有关的一切税费，由乙方承担。</w:t>
      </w:r>
    </w:p>
    <w:p w14:paraId="33732EB5">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十二．争议</w:t>
      </w:r>
    </w:p>
    <w:p w14:paraId="64D3A7B9">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1.在执行本合同中发生的或与本合同有关的争端，双方应通过友好协商解决。经协商不能达成协议时，可向泰兴市仲裁委员会按其仲裁规则申请仲裁。仲裁不成功，向合同签约地的人民法院提请诉讼。</w:t>
      </w:r>
    </w:p>
    <w:p w14:paraId="26D65979">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2.在仲裁和诉讼期间，双方应继续履行争议部分以外的合同内容。</w:t>
      </w:r>
    </w:p>
    <w:p w14:paraId="083334B4">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十三．违约终止合同</w:t>
      </w:r>
    </w:p>
    <w:p w14:paraId="2F798448">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 .违约责任</w:t>
      </w:r>
    </w:p>
    <w:p w14:paraId="63D47C0C">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有下列情况之一的，甲方有权终止协议：</w:t>
      </w:r>
    </w:p>
    <w:p w14:paraId="69A7B38B">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1.1乙方未能按上级要求造成结果失真或未能按进保质完成甲方委托任务的。</w:t>
      </w:r>
    </w:p>
    <w:p w14:paraId="619FDDDF">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1.2乙方违反从业道德，影响甲方声誉或投诉查实的。</w:t>
      </w:r>
    </w:p>
    <w:p w14:paraId="4D0F8FF3">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2.因解除而终止</w:t>
      </w:r>
    </w:p>
    <w:p w14:paraId="6912323E">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p>
    <w:p w14:paraId="7A1E73F9">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14:paraId="7D541688">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2.3合同一方依本合同约定行使解除权的，合同自解除通知送达另一方之日起终止。违约方应当按本合同约定支付违约金或赔偿损失。</w:t>
      </w:r>
    </w:p>
    <w:p w14:paraId="1DF1620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2.4合同终止后，不妨碍守约方向违约方追究违约责任。</w:t>
      </w:r>
    </w:p>
    <w:p w14:paraId="5049B148">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3.甲方未能按规定时限支付评估经费的，每延迟一天，按应付金额的0.1%对乙方进行违约赔偿。</w:t>
      </w:r>
    </w:p>
    <w:p w14:paraId="3622E6BB">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十四．变更指示</w:t>
      </w:r>
    </w:p>
    <w:p w14:paraId="73FA6A06">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1.甲方有权根据实际需要，在《政府采购法》允许的范围内提出变更要求。</w:t>
      </w:r>
    </w:p>
    <w:p w14:paraId="68C25D11">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p>
    <w:p w14:paraId="03793CCE">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十五．合同修改</w:t>
      </w:r>
    </w:p>
    <w:p w14:paraId="5D1E6654">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1.对合同条款作出任何改动或偏离，均须甲乙双方签署书面的合同修改书。</w:t>
      </w:r>
    </w:p>
    <w:p w14:paraId="724886E5">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十六．适用法律</w:t>
      </w:r>
    </w:p>
    <w:p w14:paraId="636BEBFC">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l.本合同应按中华人民共和国的法律解释。</w:t>
      </w:r>
    </w:p>
    <w:p w14:paraId="3E4918DC">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十七．语言与计量单位</w:t>
      </w:r>
    </w:p>
    <w:p w14:paraId="154B827F">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1.合同书写应用中文。甲乙双方所有的来往函电以及与合同有关的文件均应以中文书写。</w:t>
      </w:r>
    </w:p>
    <w:p w14:paraId="0CD9FC0F">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2.除技术规格中另有规定外，计量单位均使用国际单位制。</w:t>
      </w:r>
    </w:p>
    <w:p w14:paraId="21A78E96">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十八．通知</w:t>
      </w:r>
    </w:p>
    <w:p w14:paraId="3415E0BE">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1.本合同任何一方给另一方的通知都应以书面形式发送，而另一方应以书面形式确认并发送到对方明确的地址。</w:t>
      </w:r>
    </w:p>
    <w:p w14:paraId="465BA11B">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十九．合同文件及资料的保密</w:t>
      </w:r>
    </w:p>
    <w:p w14:paraId="4440589B">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1.在未经甲方同意的情况下，乙方不得将合同、合同中的规定、有关研究、设计图纸、式样、样本或甲方为乙方提供的资料透露给任何人。</w:t>
      </w:r>
    </w:p>
    <w:p w14:paraId="73941D4E">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2.除合同本身以外，乙方从甲方处获得的所有资料其知识产权归甲方所有，乙方应于其合同义务履行完毕以后将这些资料（包括所有副本）退还甲方。</w:t>
      </w:r>
    </w:p>
    <w:p w14:paraId="143521DD">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二十．合同生效及其他</w:t>
      </w:r>
    </w:p>
    <w:p w14:paraId="5560DDBF">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1.除合同中另有说明，本合同经双方法定代表人或其委托代理人签字并加盖公章或合同专用章后，即开始生效。</w:t>
      </w:r>
    </w:p>
    <w:p w14:paraId="0027C6A7">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2.合同一式肆份，具有同等法律效力。</w:t>
      </w:r>
    </w:p>
    <w:p w14:paraId="10FC951D">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二十一．合同文件及解释顺序</w:t>
      </w:r>
    </w:p>
    <w:p w14:paraId="44F145F7">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下列文件均为合同组成文件</w:t>
      </w:r>
    </w:p>
    <w:p w14:paraId="7715E110">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1.招标文件（包括澄清、答疑、修改和补充通知）</w:t>
      </w:r>
    </w:p>
    <w:p w14:paraId="1D68080B">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2.投标文件（包括修改、澄清）</w:t>
      </w:r>
    </w:p>
    <w:p w14:paraId="3B0950C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3.中标通知书（包括投标人“回执”）</w:t>
      </w:r>
    </w:p>
    <w:p w14:paraId="6F6BF63E">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4.双方商定的补充协议或合同期内双方签署的备忘录</w:t>
      </w:r>
    </w:p>
    <w:p w14:paraId="1BD2AB93">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5.双方签署的合同谈判备忘录</w:t>
      </w:r>
    </w:p>
    <w:p w14:paraId="7C0CF466">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6.与本合同有关的其他文件</w:t>
      </w:r>
    </w:p>
    <w:p w14:paraId="1808F0A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二十二．合同的变更和终止</w:t>
      </w:r>
    </w:p>
    <w:p w14:paraId="2A0428D5">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1.除《政府采购法》第50条第二款规定的情形外，本合同一经签订，甲乙双方不得擅自变更、中止或终止合同。</w:t>
      </w:r>
    </w:p>
    <w:p w14:paraId="7C9F2CC5">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2.除发生法律规定的不能预见、不能避免并不能克服的客观情况外，甲乙双方不得放弃或拒绝履行合同。乙方放弃或拒绝履行合同，在三年内不得参加政府采购活动。</w:t>
      </w:r>
    </w:p>
    <w:p w14:paraId="01858705">
      <w:pPr>
        <w:adjustRightInd w:val="0"/>
        <w:snapToGrid w:val="0"/>
        <w:spacing w:line="500" w:lineRule="exact"/>
        <w:ind w:firstLine="560" w:firstLineChars="200"/>
        <w:rPr>
          <w:rFonts w:ascii="仿宋_GB2312" w:eastAsia="仿宋_GB2312"/>
          <w:sz w:val="28"/>
          <w:szCs w:val="32"/>
        </w:rPr>
      </w:pPr>
    </w:p>
    <w:p w14:paraId="7A996B4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甲方：（盖章）                乙方：（盖章）</w:t>
      </w:r>
    </w:p>
    <w:p w14:paraId="6AB4B5C4">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法定代表人                   法定代表人</w:t>
      </w:r>
    </w:p>
    <w:p w14:paraId="31AE101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（或授权代理人）：             （或授权代理人）：</w:t>
      </w:r>
    </w:p>
    <w:p w14:paraId="7DAB63A5">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单位地址：                    单位地址：</w:t>
      </w:r>
    </w:p>
    <w:p w14:paraId="331A9A5E">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邮    编：                     邮    编：</w:t>
      </w:r>
    </w:p>
    <w:p w14:paraId="1EA0D181">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电    话：                     电    话：</w:t>
      </w:r>
    </w:p>
    <w:p w14:paraId="1A921509">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传    真：                     传    真：</w:t>
      </w:r>
    </w:p>
    <w:p w14:paraId="713DC592">
      <w:pPr>
        <w:adjustRightInd w:val="0"/>
        <w:snapToGrid w:val="0"/>
        <w:spacing w:line="500" w:lineRule="exact"/>
        <w:ind w:firstLine="560" w:firstLineChars="200"/>
        <w:rPr>
          <w:rFonts w:hint="eastAsia" w:ascii="仿宋_GB2312" w:eastAsia="仿宋_GB2312"/>
          <w:sz w:val="28"/>
          <w:szCs w:val="32"/>
        </w:rPr>
      </w:pPr>
      <w:r>
        <w:rPr>
          <w:rFonts w:hint="eastAsia" w:ascii="仿宋_GB2312" w:eastAsia="仿宋_GB2312"/>
          <w:sz w:val="28"/>
          <w:szCs w:val="32"/>
        </w:rPr>
        <w:t>开户银行：                     开户银行：</w:t>
      </w:r>
    </w:p>
    <w:p w14:paraId="47CD2B94">
      <w:pPr>
        <w:adjustRightInd w:val="0"/>
        <w:snapToGrid w:val="0"/>
        <w:spacing w:line="500" w:lineRule="exact"/>
        <w:ind w:firstLine="560" w:firstLineChars="200"/>
        <w:rPr>
          <w:rFonts w:ascii="方正仿宋_GB2312" w:hAnsi="方正仿宋_GB2312" w:eastAsia="方正仿宋_GB2312" w:cs="方正仿宋_GB2312"/>
          <w:sz w:val="44"/>
          <w:szCs w:val="44"/>
        </w:rPr>
      </w:pPr>
      <w:r>
        <w:rPr>
          <w:rFonts w:hint="eastAsia" w:ascii="仿宋_GB2312" w:eastAsia="仿宋_GB2312"/>
          <w:sz w:val="28"/>
          <w:szCs w:val="32"/>
        </w:rPr>
        <w:t>帐    号：                     帐    号：</w:t>
      </w:r>
      <w:r>
        <w:rPr>
          <w:rFonts w:hint="eastAsia" w:ascii="方正仿宋_GB2312" w:hAnsi="方正仿宋_GB2312" w:eastAsia="方正仿宋_GB2312" w:cs="方正仿宋_GB2312"/>
          <w:sz w:val="44"/>
          <w:szCs w:val="44"/>
        </w:rPr>
        <w:br w:type="page"/>
      </w:r>
    </w:p>
    <w:p w14:paraId="7E207B84">
      <w:pPr>
        <w:pStyle w:val="48"/>
        <w:ind w:firstLine="0"/>
        <w:jc w:val="center"/>
        <w:rPr>
          <w:rFonts w:eastAsia="方正小标宋_GBK"/>
          <w:color w:val="0D0D0D"/>
          <w:sz w:val="44"/>
          <w:szCs w:val="44"/>
        </w:rPr>
      </w:pPr>
      <w:r>
        <w:rPr>
          <w:rFonts w:hint="eastAsia" w:eastAsia="方正小标宋_GBK"/>
          <w:color w:val="0D0D0D"/>
          <w:sz w:val="44"/>
          <w:szCs w:val="44"/>
        </w:rPr>
        <w:t>第五章  采购需求</w:t>
      </w:r>
    </w:p>
    <w:p w14:paraId="5D1F0D24">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一、项目概况</w:t>
      </w:r>
    </w:p>
    <w:p w14:paraId="0B47F500">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1.1 项目名称：</w:t>
      </w:r>
      <w:r>
        <w:rPr>
          <w:rFonts w:hint="eastAsia" w:ascii="仿宋_GB2312" w:hAnsi="仿宋_GB2312" w:eastAsia="仿宋_GB2312" w:cs="仿宋_GB2312"/>
          <w:sz w:val="28"/>
          <w:szCs w:val="28"/>
          <w:lang w:val="zh-CN"/>
        </w:rPr>
        <w:t>泰兴市</w:t>
      </w:r>
      <w:r>
        <w:rPr>
          <w:rFonts w:hint="eastAsia" w:ascii="仿宋_GB2312" w:hAnsi="仿宋_GB2312" w:eastAsia="仿宋_GB2312" w:cs="仿宋_GB2312"/>
          <w:sz w:val="28"/>
          <w:szCs w:val="28"/>
        </w:rPr>
        <w:t>文化博览中心</w:t>
      </w:r>
      <w:r>
        <w:rPr>
          <w:rFonts w:hint="eastAsia" w:ascii="仿宋_GB2312" w:hAnsi="仿宋_GB2312" w:eastAsia="仿宋_GB2312" w:cs="仿宋_GB2312"/>
          <w:sz w:val="28"/>
          <w:szCs w:val="28"/>
          <w:lang w:val="zh-CN"/>
        </w:rPr>
        <w:t>物业管理服务项目</w:t>
      </w:r>
    </w:p>
    <w:p w14:paraId="628EA916">
      <w:pPr>
        <w:ind w:firstLine="560" w:firstLineChars="20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1.2 项目地点：</w:t>
      </w:r>
      <w:r>
        <w:rPr>
          <w:rFonts w:hint="eastAsia" w:ascii="仿宋_GB2312" w:hAnsi="仿宋_GB2312" w:eastAsia="仿宋_GB2312" w:cs="仿宋_GB2312"/>
          <w:sz w:val="28"/>
          <w:szCs w:val="28"/>
          <w:lang w:val="en-US" w:eastAsia="zh-CN"/>
        </w:rPr>
        <w:t>泰兴市府前街大会堂路26号</w:t>
      </w:r>
    </w:p>
    <w:p w14:paraId="49A56E74">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1.3 项目内容：泰兴市文化博览中心区域室内面积约8350平方米：室外面积约10000平方米的大环境（含停车场、廊、路、坊牌、景观河、绿化带）场地，安保、保洁、绿化、</w:t>
      </w:r>
      <w:r>
        <w:rPr>
          <w:rFonts w:hint="eastAsia" w:ascii="仿宋_GB2312" w:hAnsi="仿宋_GB2312" w:eastAsia="仿宋_GB2312" w:cs="仿宋_GB2312"/>
          <w:sz w:val="28"/>
          <w:szCs w:val="28"/>
          <w:lang w:val="en-US" w:eastAsia="zh-CN"/>
        </w:rPr>
        <w:t>消控值班和消防维保</w:t>
      </w:r>
      <w:r>
        <w:rPr>
          <w:rFonts w:hint="eastAsia" w:ascii="仿宋_GB2312" w:hAnsi="仿宋_GB2312" w:eastAsia="仿宋_GB2312" w:cs="仿宋_GB2312"/>
          <w:sz w:val="28"/>
          <w:szCs w:val="28"/>
        </w:rPr>
        <w:t>、电梯维保、停车场管理、垃圾清运等。及朱东润旧居占地面积943平方米</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安保、</w:t>
      </w:r>
      <w:r>
        <w:rPr>
          <w:rFonts w:hint="eastAsia" w:ascii="仿宋_GB2312" w:hAnsi="仿宋_GB2312" w:eastAsia="仿宋_GB2312" w:cs="仿宋_GB2312"/>
          <w:sz w:val="28"/>
          <w:szCs w:val="28"/>
          <w:lang w:val="en-US" w:eastAsia="zh-CN"/>
        </w:rPr>
        <w:t>消控值班和消防维保</w:t>
      </w:r>
      <w:r>
        <w:rPr>
          <w:rFonts w:hint="eastAsia" w:ascii="仿宋_GB2312" w:hAnsi="仿宋_GB2312" w:eastAsia="仿宋_GB2312" w:cs="仿宋_GB2312"/>
          <w:sz w:val="28"/>
          <w:szCs w:val="28"/>
        </w:rPr>
        <w:t>等</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即物业综合管理服务</w:t>
      </w:r>
      <w:r>
        <w:rPr>
          <w:rFonts w:hint="eastAsia" w:ascii="仿宋_GB2312" w:hAnsi="仿宋_GB2312" w:eastAsia="仿宋_GB2312" w:cs="仿宋_GB2312"/>
          <w:sz w:val="28"/>
          <w:szCs w:val="28"/>
          <w:lang w:val="en-US" w:eastAsia="zh-CN"/>
        </w:rPr>
        <w:t>总</w:t>
      </w:r>
      <w:r>
        <w:rPr>
          <w:rFonts w:hint="eastAsia" w:ascii="仿宋_GB2312" w:hAnsi="仿宋_GB2312" w:eastAsia="仿宋_GB2312" w:cs="仿宋_GB2312"/>
          <w:sz w:val="28"/>
          <w:szCs w:val="28"/>
        </w:rPr>
        <w:t>面积</w:t>
      </w:r>
      <w:r>
        <w:rPr>
          <w:rFonts w:hint="eastAsia" w:ascii="仿宋_GB2312" w:hAnsi="仿宋_GB2312" w:eastAsia="仿宋_GB2312" w:cs="仿宋_GB2312"/>
          <w:sz w:val="28"/>
          <w:szCs w:val="28"/>
          <w:lang w:val="en-US" w:eastAsia="zh-CN"/>
        </w:rPr>
        <w:t>约2</w:t>
      </w:r>
      <w:r>
        <w:rPr>
          <w:rFonts w:hint="eastAsia" w:ascii="仿宋_GB2312" w:hAnsi="仿宋_GB2312" w:eastAsia="仿宋_GB2312" w:cs="仿宋_GB2312"/>
          <w:sz w:val="28"/>
          <w:szCs w:val="28"/>
        </w:rPr>
        <w:t>万平方米。</w:t>
      </w:r>
    </w:p>
    <w:p w14:paraId="22557349">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二、采购清单（范围）</w:t>
      </w:r>
    </w:p>
    <w:p w14:paraId="2E97ED44">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1、物业管理区域内公共环境卫生的维护和管理，包括：馆内各展示厅及各通道的卫生保洁（包括厕所、庭院、门窗、通道等）；外部大环境的卫生、保洁和绿化区域内的杂物清理；广场、停车场</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办公区域</w:t>
      </w:r>
      <w:r>
        <w:rPr>
          <w:rFonts w:hint="eastAsia" w:ascii="仿宋_GB2312" w:hAnsi="仿宋_GB2312" w:eastAsia="仿宋_GB2312" w:cs="仿宋_GB2312"/>
          <w:sz w:val="28"/>
          <w:szCs w:val="28"/>
        </w:rPr>
        <w:t>的卫生清扫，景观池杂物的清捞</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垃圾清运</w:t>
      </w:r>
      <w:r>
        <w:rPr>
          <w:rFonts w:hint="eastAsia" w:ascii="仿宋_GB2312" w:hAnsi="仿宋_GB2312" w:eastAsia="仿宋_GB2312" w:cs="仿宋_GB2312"/>
          <w:sz w:val="28"/>
          <w:szCs w:val="28"/>
        </w:rPr>
        <w:t>等。</w:t>
      </w:r>
    </w:p>
    <w:p w14:paraId="65E7F87F">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2、物业管理区域内安防和秩序维护管理，包括：安全防范、车辆（机动车和非机动车）行驶、停放秩序及场地管理。                          </w:t>
      </w:r>
    </w:p>
    <w:p w14:paraId="1AB1583F">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物业管理区域内物业公共部位、公共设施、设备的运行和管理，包括对房屋使用的设备设施等的运行和管理；共用的上下管道、落水管、共用照明、高压水泵房、楼内消防设施等的运行和管理，采用维修报修制。</w:t>
      </w:r>
    </w:p>
    <w:p w14:paraId="35705EF7">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4、供水、供电、</w:t>
      </w:r>
      <w:r>
        <w:rPr>
          <w:rFonts w:hint="eastAsia" w:ascii="仿宋_GB2312" w:hAnsi="仿宋_GB2312" w:eastAsia="仿宋_GB2312" w:cs="仿宋_GB2312"/>
          <w:sz w:val="28"/>
          <w:szCs w:val="28"/>
          <w:lang w:val="en-US" w:eastAsia="zh-CN"/>
        </w:rPr>
        <w:t>空调</w:t>
      </w:r>
      <w:r>
        <w:rPr>
          <w:rFonts w:hint="eastAsia" w:ascii="仿宋_GB2312" w:hAnsi="仿宋_GB2312" w:eastAsia="仿宋_GB2312" w:cs="仿宋_GB2312"/>
          <w:sz w:val="28"/>
          <w:szCs w:val="28"/>
        </w:rPr>
        <w:t>、通讯等专业单位在物业管理区域内对相关管线、设施维修养护时进行必要的协调和管理。</w:t>
      </w:r>
    </w:p>
    <w:p w14:paraId="028FB3CF">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5、消防监控：</w:t>
      </w:r>
      <w:r>
        <w:rPr>
          <w:rFonts w:hint="eastAsia" w:ascii="仿宋_GB2312" w:hAnsi="仿宋_GB2312" w:eastAsia="仿宋_GB2312" w:cs="仿宋_GB2312"/>
          <w:sz w:val="28"/>
          <w:szCs w:val="28"/>
        </w:rPr>
        <w:t>负责监控室的日常工作；消防、闭路监控异常情况处理，晚间任务接受及下达。消控室值班人员必须持有消防行业职业资格证书，每日24h值班制度，每班不少于</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人。</w:t>
      </w:r>
    </w:p>
    <w:p w14:paraId="19F67EB3">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消防、电梯等特种设备管理及维护保养。</w:t>
      </w:r>
    </w:p>
    <w:p w14:paraId="4AE5D9F8">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7、场馆内外绿化、亮化管理及维护保养</w:t>
      </w:r>
    </w:p>
    <w:p w14:paraId="5F08ED65">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8</w:t>
      </w:r>
      <w:r>
        <w:rPr>
          <w:rFonts w:hint="eastAsia" w:ascii="仿宋_GB2312" w:hAnsi="仿宋_GB2312" w:eastAsia="仿宋_GB2312" w:cs="仿宋_GB2312"/>
          <w:sz w:val="28"/>
          <w:szCs w:val="28"/>
        </w:rPr>
        <w:t>、值班制度的建立：不定期抽查本单位轮班人员到岗情况、履职情况，并认真做好抽查记录，遇突发事情时做到随喊随到。</w:t>
      </w:r>
    </w:p>
    <w:p w14:paraId="75CFEAF6">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9、</w:t>
      </w:r>
      <w:r>
        <w:rPr>
          <w:rFonts w:hint="eastAsia" w:ascii="仿宋_GB2312" w:hAnsi="仿宋_GB2312" w:eastAsia="仿宋_GB2312" w:cs="仿宋_GB2312"/>
          <w:sz w:val="28"/>
          <w:szCs w:val="28"/>
        </w:rPr>
        <w:t>进出物料的核实、登记</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物业档案资料的保管及有关物业服务费用的账务管理。</w:t>
      </w:r>
    </w:p>
    <w:p w14:paraId="5F7E0EC2">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三、技术要求</w:t>
      </w:r>
    </w:p>
    <w:p w14:paraId="0118FBED">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拟派本项目的物业服务人员 2</w:t>
      </w:r>
      <w:r>
        <w:rPr>
          <w:rFonts w:hint="eastAsia" w:ascii="仿宋_GB2312" w:hAnsi="仿宋_GB2312" w:eastAsia="仿宋_GB2312" w:cs="仿宋_GB2312"/>
          <w:sz w:val="28"/>
          <w:szCs w:val="28"/>
          <w:lang w:val="en-US" w:eastAsia="zh-CN"/>
        </w:rPr>
        <w:t>9</w:t>
      </w:r>
      <w:r>
        <w:rPr>
          <w:rFonts w:hint="eastAsia" w:ascii="仿宋_GB2312" w:hAnsi="仿宋_GB2312" w:eastAsia="仿宋_GB2312" w:cs="仿宋_GB2312"/>
          <w:sz w:val="28"/>
          <w:szCs w:val="28"/>
        </w:rPr>
        <w:t xml:space="preserve"> 人（具体人员配置和基本要求见“附表一”），具体的人员配备由投标单位在投标文件中详细体现，不符合人数及人员要求的或未提供相应岗位资格证书的，作</w:t>
      </w:r>
      <w:r>
        <w:rPr>
          <w:rFonts w:hint="eastAsia" w:ascii="仿宋_GB2312" w:hAnsi="仿宋_GB2312" w:eastAsia="仿宋_GB2312" w:cs="仿宋_GB2312"/>
          <w:color w:val="FF0000"/>
          <w:sz w:val="28"/>
          <w:szCs w:val="28"/>
          <w:lang w:eastAsia="zh-CN"/>
        </w:rPr>
        <w:t>无效投</w:t>
      </w:r>
      <w:r>
        <w:rPr>
          <w:rFonts w:hint="eastAsia" w:ascii="仿宋_GB2312" w:hAnsi="仿宋_GB2312" w:eastAsia="仿宋_GB2312" w:cs="仿宋_GB2312"/>
          <w:color w:val="FF0000"/>
          <w:sz w:val="28"/>
          <w:szCs w:val="28"/>
        </w:rPr>
        <w:t>标</w:t>
      </w:r>
      <w:r>
        <w:rPr>
          <w:rFonts w:hint="eastAsia" w:ascii="仿宋_GB2312" w:hAnsi="仿宋_GB2312" w:eastAsia="仿宋_GB2312" w:cs="仿宋_GB2312"/>
          <w:color w:val="FF0000"/>
          <w:sz w:val="28"/>
          <w:szCs w:val="28"/>
          <w:lang w:eastAsia="zh-CN"/>
        </w:rPr>
        <w:t>（响应）处理</w:t>
      </w:r>
      <w:r>
        <w:rPr>
          <w:rFonts w:hint="eastAsia" w:ascii="仿宋_GB2312" w:hAnsi="仿宋_GB2312" w:eastAsia="仿宋_GB2312" w:cs="仿宋_GB2312"/>
          <w:sz w:val="28"/>
          <w:szCs w:val="28"/>
        </w:rPr>
        <w:t>。</w:t>
      </w:r>
    </w:p>
    <w:p w14:paraId="0F78AA8F">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1、拟派项目经理1名：50 周岁（含）以内，大专及以上文化（提供学历证书或教育部学籍在线验证报告证明）且为本公司在册在编人员，必须提供投标人为其缴纳的投标</w:t>
      </w:r>
      <w:r>
        <w:rPr>
          <w:rFonts w:hint="eastAsia" w:ascii="仿宋_GB2312" w:hAnsi="仿宋_GB2312" w:eastAsia="仿宋_GB2312" w:cs="仿宋_GB2312"/>
          <w:sz w:val="28"/>
          <w:szCs w:val="28"/>
          <w:lang w:val="en-US" w:eastAsia="zh-CN"/>
        </w:rPr>
        <w:t>上月或当月</w:t>
      </w:r>
      <w:r>
        <w:rPr>
          <w:rFonts w:hint="eastAsia" w:ascii="仿宋_GB2312" w:hAnsi="仿宋_GB2312" w:eastAsia="仿宋_GB2312" w:cs="仿宋_GB2312"/>
          <w:sz w:val="28"/>
          <w:szCs w:val="28"/>
        </w:rPr>
        <w:t>的社保证明【社保证明材料须符合以下条件之一，</w:t>
      </w:r>
      <w:r>
        <w:rPr>
          <w:rFonts w:hint="eastAsia" w:ascii="仿宋_GB2312" w:hAnsi="仿宋_GB2312" w:eastAsia="仿宋_GB2312" w:cs="仿宋_GB2312"/>
          <w:color w:val="FF0000"/>
          <w:sz w:val="28"/>
          <w:szCs w:val="28"/>
        </w:rPr>
        <w:t>否则作</w:t>
      </w:r>
      <w:r>
        <w:rPr>
          <w:rFonts w:hint="eastAsia" w:ascii="仿宋_GB2312" w:hAnsi="仿宋_GB2312" w:eastAsia="仿宋_GB2312" w:cs="仿宋_GB2312"/>
          <w:color w:val="FF0000"/>
          <w:sz w:val="28"/>
          <w:szCs w:val="28"/>
          <w:lang w:eastAsia="zh-CN"/>
        </w:rPr>
        <w:t>无效投</w:t>
      </w:r>
      <w:r>
        <w:rPr>
          <w:rFonts w:hint="eastAsia" w:ascii="仿宋_GB2312" w:hAnsi="仿宋_GB2312" w:eastAsia="仿宋_GB2312" w:cs="仿宋_GB2312"/>
          <w:color w:val="FF0000"/>
          <w:sz w:val="28"/>
          <w:szCs w:val="28"/>
        </w:rPr>
        <w:t>标</w:t>
      </w:r>
      <w:r>
        <w:rPr>
          <w:rFonts w:hint="eastAsia" w:ascii="仿宋_GB2312" w:hAnsi="仿宋_GB2312" w:eastAsia="仿宋_GB2312" w:cs="仿宋_GB2312"/>
          <w:color w:val="FF0000"/>
          <w:sz w:val="28"/>
          <w:szCs w:val="28"/>
          <w:lang w:eastAsia="zh-CN"/>
        </w:rPr>
        <w:t>（响应）处理</w:t>
      </w:r>
      <w:r>
        <w:rPr>
          <w:rFonts w:hint="eastAsia" w:ascii="仿宋_GB2312" w:hAnsi="仿宋_GB2312" w:eastAsia="仿宋_GB2312" w:cs="仿宋_GB2312"/>
          <w:sz w:val="28"/>
          <w:szCs w:val="28"/>
        </w:rPr>
        <w:t>：</w:t>
      </w:r>
    </w:p>
    <w:p w14:paraId="46D63670">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①、提供书面证明材料的，应提供社会保险经办机构的信息管理系统打印的社保证明材料，并加盖社会保险经办机构的章；②、提供网络查询服务的，投标人应载明网络查询方式，查询方式应具体、详细（一般应包括查询网址、网站、用户名和密码等）】。</w:t>
      </w:r>
    </w:p>
    <w:p w14:paraId="4339EAA5">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2、拟派本项目的其他人员 2</w:t>
      </w:r>
      <w:r>
        <w:rPr>
          <w:rFonts w:hint="eastAsia" w:ascii="仿宋_GB2312" w:hAnsi="仿宋_GB2312" w:eastAsia="仿宋_GB2312" w:cs="仿宋_GB2312"/>
          <w:sz w:val="28"/>
          <w:szCs w:val="28"/>
          <w:lang w:val="en-US" w:eastAsia="zh-CN"/>
        </w:rPr>
        <w:t>8</w:t>
      </w:r>
      <w:r>
        <w:rPr>
          <w:rFonts w:hint="eastAsia" w:ascii="仿宋_GB2312" w:hAnsi="仿宋_GB2312" w:eastAsia="仿宋_GB2312" w:cs="仿宋_GB2312"/>
          <w:sz w:val="28"/>
          <w:szCs w:val="28"/>
        </w:rPr>
        <w:t>名，其中：</w:t>
      </w:r>
    </w:p>
    <w:p w14:paraId="7CF37E64">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拟派保安主管 1 名，男，45 周岁（含）以内，持保安员证，具有一定的保安团队管理经验，退伍军人优先。拟派其他保安员 1</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 xml:space="preserve"> 名</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其中：朱东润故居2名）</w:t>
      </w:r>
      <w:r>
        <w:rPr>
          <w:rFonts w:hint="eastAsia" w:ascii="仿宋_GB2312" w:hAnsi="仿宋_GB2312" w:eastAsia="仿宋_GB2312" w:cs="仿宋_GB2312"/>
          <w:sz w:val="28"/>
          <w:szCs w:val="28"/>
        </w:rPr>
        <w:t>，男 60 周岁（含）以内、女 50 周岁（含）以内，持</w:t>
      </w:r>
      <w:r>
        <w:rPr>
          <w:rFonts w:hint="eastAsia" w:ascii="仿宋_GB2312" w:hAnsi="仿宋_GB2312" w:eastAsia="仿宋_GB2312" w:cs="仿宋_GB2312"/>
          <w:sz w:val="28"/>
          <w:szCs w:val="28"/>
          <w:lang w:val="en-US" w:eastAsia="zh-CN"/>
        </w:rPr>
        <w:t>公安机关颁发的</w:t>
      </w:r>
      <w:r>
        <w:rPr>
          <w:rFonts w:hint="eastAsia" w:ascii="仿宋_GB2312" w:hAnsi="仿宋_GB2312" w:eastAsia="仿宋_GB2312" w:cs="仿宋_GB2312"/>
          <w:sz w:val="28"/>
          <w:szCs w:val="28"/>
        </w:rPr>
        <w:t>保安员证。</w:t>
      </w:r>
    </w:p>
    <w:p w14:paraId="538B030A">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(2)</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拟派水电工</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名（其中一名为工程部主管），男，55周岁（含）以内， 持有</w:t>
      </w:r>
      <w:r>
        <w:rPr>
          <w:rFonts w:hint="eastAsia" w:ascii="仿宋_GB2312" w:hAnsi="仿宋_GB2312" w:eastAsia="仿宋_GB2312" w:cs="仿宋_GB2312"/>
          <w:sz w:val="28"/>
          <w:szCs w:val="28"/>
          <w:lang w:val="en-US" w:eastAsia="zh-CN"/>
        </w:rPr>
        <w:t>应急管理部颁发的</w:t>
      </w:r>
      <w:r>
        <w:rPr>
          <w:rFonts w:hint="eastAsia" w:ascii="仿宋_GB2312" w:hAnsi="仿宋_GB2312" w:eastAsia="仿宋_GB2312" w:cs="仿宋_GB2312"/>
          <w:sz w:val="28"/>
          <w:szCs w:val="28"/>
        </w:rPr>
        <w:t>电工证；</w:t>
      </w:r>
      <w:r>
        <w:rPr>
          <w:rFonts w:hint="eastAsia" w:ascii="仿宋_GB2312" w:hAnsi="仿宋_GB2312" w:eastAsia="仿宋_GB2312" w:cs="仿宋_GB2312"/>
          <w:sz w:val="28"/>
          <w:szCs w:val="28"/>
          <w:lang w:val="en-US" w:eastAsia="zh-CN"/>
        </w:rPr>
        <w:t>一名持有高压电工证和一名低压电工证。</w:t>
      </w:r>
    </w:p>
    <w:p w14:paraId="69AC3E0C">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 xml:space="preserve">)拟派消防室监控员 </w:t>
      </w:r>
      <w:r>
        <w:rPr>
          <w:rFonts w:hint="eastAsia" w:ascii="仿宋_GB2312" w:hAnsi="仿宋_GB2312" w:eastAsia="仿宋_GB2312" w:cs="仿宋_GB2312"/>
          <w:sz w:val="28"/>
          <w:szCs w:val="28"/>
          <w:lang w:val="en-US" w:eastAsia="zh-CN"/>
        </w:rPr>
        <w:t xml:space="preserve">7 </w:t>
      </w:r>
      <w:r>
        <w:rPr>
          <w:rFonts w:hint="eastAsia" w:ascii="仿宋_GB2312" w:hAnsi="仿宋_GB2312" w:eastAsia="仿宋_GB2312" w:cs="仿宋_GB2312"/>
          <w:sz w:val="28"/>
          <w:szCs w:val="28"/>
        </w:rPr>
        <w:t>名，</w:t>
      </w:r>
      <w:r>
        <w:rPr>
          <w:rFonts w:hint="eastAsia" w:ascii="仿宋_GB2312" w:hAnsi="仿宋_GB2312" w:eastAsia="仿宋_GB2312" w:cs="仿宋_GB2312"/>
          <w:color w:val="auto"/>
          <w:sz w:val="28"/>
          <w:szCs w:val="28"/>
        </w:rPr>
        <w:t>男 60 周岁（含）以内、女 50 周岁（含）以内，持有</w:t>
      </w:r>
      <w:r>
        <w:rPr>
          <w:rFonts w:hint="eastAsia" w:ascii="仿宋_GB2312" w:hAnsi="仿宋_GB2312" w:eastAsia="仿宋_GB2312" w:cs="仿宋_GB2312"/>
          <w:color w:val="auto"/>
          <w:sz w:val="28"/>
          <w:szCs w:val="28"/>
          <w:lang w:val="en-US" w:eastAsia="zh-CN"/>
        </w:rPr>
        <w:t>消防设施操作员证</w:t>
      </w:r>
      <w:r>
        <w:rPr>
          <w:rFonts w:hint="eastAsia" w:ascii="仿宋_GB2312" w:hAnsi="仿宋_GB2312" w:eastAsia="仿宋_GB2312" w:cs="仿宋_GB2312"/>
          <w:color w:val="auto"/>
          <w:sz w:val="28"/>
          <w:szCs w:val="28"/>
        </w:rPr>
        <w:t>。</w:t>
      </w:r>
    </w:p>
    <w:p w14:paraId="15FCEE9C">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rPr>
        <w:t>)拟派保洁员 5 名，景观鱼养护</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绿化养护工 1 名，男不超过60周岁，女不超过50 周岁。</w:t>
      </w:r>
    </w:p>
    <w:p w14:paraId="631AAFEB">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)拟派保安主管、水电工、消防室监控员必须为投标人在册在编人员，提供投标人为其缴纳的</w:t>
      </w:r>
      <w:r>
        <w:rPr>
          <w:rFonts w:hint="eastAsia" w:ascii="仿宋_GB2312" w:hAnsi="仿宋_GB2312" w:eastAsia="仿宋_GB2312" w:cs="仿宋_GB2312"/>
          <w:sz w:val="28"/>
          <w:szCs w:val="28"/>
          <w:lang w:val="en-US" w:eastAsia="zh-CN"/>
        </w:rPr>
        <w:t>上个</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lang w:val="en-US" w:eastAsia="zh-CN"/>
        </w:rPr>
        <w:t>或当月</w:t>
      </w:r>
      <w:r>
        <w:rPr>
          <w:rFonts w:hint="eastAsia" w:ascii="仿宋_GB2312" w:hAnsi="仿宋_GB2312" w:eastAsia="仿宋_GB2312" w:cs="仿宋_GB2312"/>
          <w:sz w:val="28"/>
          <w:szCs w:val="28"/>
        </w:rPr>
        <w:t>的社保证明，社保证明材料须符合以下条件之一，</w:t>
      </w:r>
      <w:r>
        <w:rPr>
          <w:rFonts w:hint="eastAsia" w:ascii="仿宋_GB2312" w:hAnsi="仿宋_GB2312" w:eastAsia="仿宋_GB2312" w:cs="仿宋_GB2312"/>
          <w:color w:val="FF0000"/>
          <w:sz w:val="28"/>
          <w:szCs w:val="28"/>
        </w:rPr>
        <w:t>否则作</w:t>
      </w:r>
      <w:r>
        <w:rPr>
          <w:rFonts w:hint="eastAsia" w:ascii="仿宋_GB2312" w:hAnsi="仿宋_GB2312" w:eastAsia="仿宋_GB2312" w:cs="仿宋_GB2312"/>
          <w:color w:val="FF0000"/>
          <w:sz w:val="28"/>
          <w:szCs w:val="28"/>
          <w:lang w:eastAsia="zh-CN"/>
        </w:rPr>
        <w:t>无效投</w:t>
      </w:r>
      <w:r>
        <w:rPr>
          <w:rFonts w:hint="eastAsia" w:ascii="仿宋_GB2312" w:hAnsi="仿宋_GB2312" w:eastAsia="仿宋_GB2312" w:cs="仿宋_GB2312"/>
          <w:color w:val="FF0000"/>
          <w:sz w:val="28"/>
          <w:szCs w:val="28"/>
        </w:rPr>
        <w:t>标</w:t>
      </w:r>
      <w:r>
        <w:rPr>
          <w:rFonts w:hint="eastAsia" w:ascii="仿宋_GB2312" w:hAnsi="仿宋_GB2312" w:eastAsia="仿宋_GB2312" w:cs="仿宋_GB2312"/>
          <w:color w:val="FF0000"/>
          <w:sz w:val="28"/>
          <w:szCs w:val="28"/>
          <w:lang w:eastAsia="zh-CN"/>
        </w:rPr>
        <w:t>（响应）处理</w:t>
      </w:r>
      <w:r>
        <w:rPr>
          <w:rFonts w:hint="eastAsia" w:ascii="仿宋_GB2312" w:hAnsi="仿宋_GB2312" w:eastAsia="仿宋_GB2312" w:cs="仿宋_GB2312"/>
          <w:sz w:val="28"/>
          <w:szCs w:val="28"/>
        </w:rPr>
        <w:t>：①、提供书面证明材料的，应提供社会保险经办机构的信息管理系统打印的社保证明材料，并加盖社会保险经办机构的章；</w:t>
      </w:r>
    </w:p>
    <w:p w14:paraId="42E7FB8C">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②、提供网络查询服务的，投标人应载明网络查询方式，查询方式应具体、详细（一般应包括查询网址、网站、用户名和密码等）。 </w:t>
      </w:r>
    </w:p>
    <w:p w14:paraId="63E3DE48">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四、商务要求</w:t>
      </w:r>
    </w:p>
    <w:p w14:paraId="37D35815">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1、本物业项目的物业服务费实行包干制。物业服务包干费用：包括成交人承办</w:t>
      </w:r>
      <w:r>
        <w:rPr>
          <w:rFonts w:hint="eastAsia" w:ascii="仿宋_GB2312" w:hAnsi="仿宋_GB2312" w:eastAsia="仿宋_GB2312" w:cs="仿宋_GB2312"/>
          <w:sz w:val="28"/>
          <w:szCs w:val="28"/>
          <w:lang w:eastAsia="zh-CN"/>
        </w:rPr>
        <w:t>采购</w:t>
      </w:r>
      <w:r>
        <w:rPr>
          <w:rFonts w:hint="eastAsia" w:ascii="仿宋_GB2312" w:hAnsi="仿宋_GB2312" w:eastAsia="仿宋_GB2312" w:cs="仿宋_GB2312"/>
          <w:sz w:val="28"/>
          <w:szCs w:val="28"/>
        </w:rPr>
        <w:t>文件规定的物业管理服务的内容项目，并达到本物业项目物业管理服务质量与标准所需人员的工资和法定的社保费、管理酬金、法定税费等费用。本项目的保安、保洁器材及人员统一服装费等由成交人全额承担。成交人的报价即为合同价，在合同履行过程中，合同价不予调增。如因采购人对服务需求的工作内容增减、服务区域扩大或减小，则双方友好协商，对增减的费用另行签订补充协议。补充协议与本合同具有同等法律效应。</w:t>
      </w:r>
    </w:p>
    <w:p w14:paraId="41E6F4FF">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w:t>
      </w:r>
      <w:r>
        <w:rPr>
          <w:rFonts w:hint="eastAsia" w:ascii="仿宋_GB2312" w:hAnsi="仿宋_GB2312" w:eastAsia="仿宋_GB2312" w:cs="仿宋_GB2312"/>
          <w:sz w:val="28"/>
          <w:szCs w:val="28"/>
          <w:lang w:val="en-US" w:eastAsia="zh-CN"/>
        </w:rPr>
        <w:t>供应商</w:t>
      </w:r>
      <w:r>
        <w:rPr>
          <w:rFonts w:hint="eastAsia" w:ascii="仿宋_GB2312" w:hAnsi="仿宋_GB2312" w:eastAsia="仿宋_GB2312" w:cs="仿宋_GB2312"/>
          <w:sz w:val="28"/>
          <w:szCs w:val="28"/>
        </w:rPr>
        <w:t>应按照</w:t>
      </w:r>
      <w:r>
        <w:rPr>
          <w:rFonts w:hint="eastAsia" w:ascii="仿宋_GB2312" w:hAnsi="仿宋_GB2312" w:eastAsia="仿宋_GB2312" w:cs="仿宋_GB2312"/>
          <w:sz w:val="28"/>
          <w:szCs w:val="28"/>
          <w:lang w:eastAsia="zh-CN"/>
        </w:rPr>
        <w:t>采购</w:t>
      </w:r>
      <w:r>
        <w:rPr>
          <w:rFonts w:hint="eastAsia" w:ascii="仿宋_GB2312" w:hAnsi="仿宋_GB2312" w:eastAsia="仿宋_GB2312" w:cs="仿宋_GB2312"/>
          <w:sz w:val="28"/>
          <w:szCs w:val="28"/>
        </w:rPr>
        <w:t>文件规定格式填报投标报价表（含分项报价），如果单价和总价不符，以单价为准。</w:t>
      </w:r>
    </w:p>
    <w:p w14:paraId="5451AC88">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3、采购文件未详细列明，而</w:t>
      </w:r>
      <w:r>
        <w:rPr>
          <w:rFonts w:hint="eastAsia" w:ascii="仿宋_GB2312" w:hAnsi="仿宋_GB2312" w:eastAsia="仿宋_GB2312" w:cs="仿宋_GB2312"/>
          <w:sz w:val="28"/>
          <w:szCs w:val="28"/>
          <w:lang w:val="en-US" w:eastAsia="zh-CN"/>
        </w:rPr>
        <w:t>供应商</w:t>
      </w:r>
      <w:r>
        <w:rPr>
          <w:rFonts w:hint="eastAsia" w:ascii="仿宋_GB2312" w:hAnsi="仿宋_GB2312" w:eastAsia="仿宋_GB2312" w:cs="仿宋_GB2312"/>
          <w:sz w:val="28"/>
          <w:szCs w:val="28"/>
        </w:rPr>
        <w:t>认为必需的费用也需列入报价。</w:t>
      </w:r>
    </w:p>
    <w:p w14:paraId="5C54CBB3">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4、签订合同后7天内全部到岗，服务质量符合标准，每个季度</w:t>
      </w:r>
      <w:r>
        <w:rPr>
          <w:rFonts w:hint="eastAsia" w:ascii="仿宋_GB2312" w:hAnsi="仿宋_GB2312" w:eastAsia="仿宋_GB2312" w:cs="仿宋_GB2312"/>
          <w:sz w:val="28"/>
          <w:szCs w:val="28"/>
          <w:lang w:val="en-US" w:eastAsia="zh-CN"/>
        </w:rPr>
        <w:t>末</w:t>
      </w:r>
      <w:r>
        <w:rPr>
          <w:rFonts w:hint="eastAsia" w:ascii="仿宋_GB2312" w:hAnsi="仿宋_GB2312" w:eastAsia="仿宋_GB2312" w:cs="仿宋_GB2312"/>
          <w:sz w:val="28"/>
          <w:szCs w:val="28"/>
        </w:rPr>
        <w:t>付上个季度的服务费，服务质量达不到要求，按考核结果得分情况发放。</w:t>
      </w:r>
    </w:p>
    <w:p w14:paraId="3C177A41">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五、其他要求</w:t>
      </w:r>
    </w:p>
    <w:p w14:paraId="6BB9DC7D">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物业管理公司必须严格执行泰州市泰兴市政府用工工资标准的有关规定，并承担其雇员的劳动报酬、福利待遇、按劳动法交纳社会保险、劳动保护、工伤抚恤等用人费用，承担未正确执行劳动用工规定所产生的法律责任，维护和保障员工的合法权益。</w:t>
      </w:r>
    </w:p>
    <w:p w14:paraId="544C8F2F">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2、服务人数：项目经理1名、</w:t>
      </w:r>
      <w:r>
        <w:rPr>
          <w:rFonts w:hint="eastAsia" w:ascii="仿宋_GB2312" w:hAnsi="宋体" w:eastAsia="仿宋_GB2312"/>
          <w:sz w:val="28"/>
          <w:szCs w:val="28"/>
        </w:rPr>
        <w:t>保安</w:t>
      </w:r>
      <w:r>
        <w:rPr>
          <w:rFonts w:hint="eastAsia" w:ascii="仿宋_GB2312" w:hAnsi="宋体" w:eastAsia="仿宋_GB2312"/>
          <w:sz w:val="28"/>
          <w:szCs w:val="28"/>
          <w:lang w:val="en-US" w:eastAsia="zh-CN"/>
        </w:rPr>
        <w:t>主管1名、保安</w:t>
      </w:r>
      <w:r>
        <w:rPr>
          <w:rFonts w:hint="eastAsia" w:ascii="仿宋_GB2312" w:hAnsi="宋体" w:eastAsia="仿宋_GB2312"/>
          <w:sz w:val="28"/>
          <w:szCs w:val="28"/>
        </w:rPr>
        <w:t>人员</w:t>
      </w:r>
      <w:r>
        <w:rPr>
          <w:rFonts w:hint="eastAsia" w:ascii="仿宋_GB2312" w:hAnsi="宋体" w:eastAsia="仿宋_GB2312"/>
          <w:sz w:val="28"/>
          <w:szCs w:val="28"/>
          <w:lang w:val="en-US" w:eastAsia="zh-CN"/>
        </w:rPr>
        <w:t>12</w:t>
      </w:r>
      <w:r>
        <w:rPr>
          <w:rFonts w:hint="eastAsia" w:ascii="仿宋_GB2312" w:hAnsi="宋体" w:eastAsia="仿宋_GB2312"/>
          <w:sz w:val="28"/>
          <w:szCs w:val="28"/>
        </w:rPr>
        <w:t>名</w:t>
      </w:r>
      <w:r>
        <w:rPr>
          <w:rFonts w:hint="eastAsia" w:ascii="仿宋_GB2312" w:hAnsi="仿宋_GB2312" w:eastAsia="仿宋_GB2312" w:cs="仿宋_GB2312"/>
          <w:sz w:val="28"/>
          <w:szCs w:val="28"/>
        </w:rPr>
        <w:t>、保洁员</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名</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水电工</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名</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消控员7名</w:t>
      </w:r>
      <w:r>
        <w:rPr>
          <w:rFonts w:hint="eastAsia" w:ascii="仿宋_GB2312" w:hAnsi="仿宋_GB2312" w:eastAsia="仿宋_GB2312" w:cs="仿宋_GB2312"/>
          <w:sz w:val="28"/>
          <w:szCs w:val="28"/>
        </w:rPr>
        <w:t>。</w:t>
      </w:r>
    </w:p>
    <w:tbl>
      <w:tblPr>
        <w:tblStyle w:val="37"/>
        <w:tblW w:w="9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08"/>
        <w:gridCol w:w="840"/>
        <w:gridCol w:w="960"/>
        <w:gridCol w:w="615"/>
        <w:gridCol w:w="7062"/>
      </w:tblGrid>
      <w:tr w14:paraId="16330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508" w:type="dxa"/>
            <w:noWrap w:val="0"/>
            <w:vAlign w:val="center"/>
          </w:tcPr>
          <w:p w14:paraId="409147A7">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rPr>
                <w:b/>
              </w:rPr>
            </w:pPr>
            <w:r>
              <w:rPr>
                <w:b/>
                <w:w w:val="99"/>
              </w:rPr>
              <w:t>序号</w:t>
            </w:r>
          </w:p>
        </w:tc>
        <w:tc>
          <w:tcPr>
            <w:tcW w:w="840" w:type="dxa"/>
            <w:noWrap w:val="0"/>
            <w:vAlign w:val="center"/>
          </w:tcPr>
          <w:p w14:paraId="51FD5C0A">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rPr>
                <w:b/>
              </w:rPr>
            </w:pPr>
            <w:r>
              <w:rPr>
                <w:b/>
              </w:rPr>
              <w:t>部门</w:t>
            </w:r>
          </w:p>
        </w:tc>
        <w:tc>
          <w:tcPr>
            <w:tcW w:w="960" w:type="dxa"/>
            <w:noWrap w:val="0"/>
            <w:vAlign w:val="center"/>
          </w:tcPr>
          <w:p w14:paraId="55091E20">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rPr>
                <w:b/>
              </w:rPr>
            </w:pPr>
            <w:r>
              <w:rPr>
                <w:b/>
              </w:rPr>
              <w:t>岗位</w:t>
            </w:r>
          </w:p>
        </w:tc>
        <w:tc>
          <w:tcPr>
            <w:tcW w:w="615" w:type="dxa"/>
            <w:noWrap w:val="0"/>
            <w:vAlign w:val="center"/>
          </w:tcPr>
          <w:p w14:paraId="567FEAEB">
            <w:pPr>
              <w:pStyle w:val="227"/>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jc w:val="center"/>
              <w:textAlignment w:val="auto"/>
              <w:rPr>
                <w:b/>
                <w:spacing w:val="-17"/>
              </w:rPr>
            </w:pPr>
            <w:r>
              <w:rPr>
                <w:b/>
                <w:spacing w:val="-17"/>
              </w:rPr>
              <w:t>人数</w:t>
            </w:r>
          </w:p>
          <w:p w14:paraId="5EC220F2">
            <w:pPr>
              <w:pStyle w:val="227"/>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jc w:val="center"/>
              <w:textAlignment w:val="auto"/>
              <w:rPr>
                <w:b/>
              </w:rPr>
            </w:pPr>
            <w:r>
              <w:rPr>
                <w:b/>
                <w:spacing w:val="-17"/>
              </w:rPr>
              <w:t>（人）</w:t>
            </w:r>
          </w:p>
        </w:tc>
        <w:tc>
          <w:tcPr>
            <w:tcW w:w="7062" w:type="dxa"/>
            <w:noWrap w:val="0"/>
            <w:vAlign w:val="top"/>
          </w:tcPr>
          <w:p w14:paraId="247C82A5">
            <w:pPr>
              <w:pStyle w:val="227"/>
              <w:keepNext w:val="0"/>
              <w:keepLines w:val="0"/>
              <w:pageBreakBefore w:val="0"/>
              <w:wordWrap/>
              <w:overflowPunct/>
              <w:topLinePunct w:val="0"/>
              <w:bidi w:val="0"/>
              <w:spacing w:line="500" w:lineRule="exact"/>
              <w:ind w:left="0" w:leftChars="0" w:right="0" w:firstLine="442" w:firstLineChars="200"/>
              <w:jc w:val="center"/>
              <w:rPr>
                <w:b/>
              </w:rPr>
            </w:pPr>
            <w:r>
              <w:rPr>
                <w:b/>
              </w:rPr>
              <w:t>岗位职责描述</w:t>
            </w:r>
          </w:p>
        </w:tc>
      </w:tr>
      <w:tr w14:paraId="636EB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63" w:hRule="atLeast"/>
          <w:jc w:val="center"/>
        </w:trPr>
        <w:tc>
          <w:tcPr>
            <w:tcW w:w="508" w:type="dxa"/>
            <w:noWrap w:val="0"/>
            <w:vAlign w:val="center"/>
          </w:tcPr>
          <w:p w14:paraId="57B4BC37">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pPr>
            <w:r>
              <w:t>1</w:t>
            </w:r>
          </w:p>
        </w:tc>
        <w:tc>
          <w:tcPr>
            <w:tcW w:w="840" w:type="dxa"/>
            <w:noWrap w:val="0"/>
            <w:vAlign w:val="center"/>
          </w:tcPr>
          <w:p w14:paraId="600FC47D">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pPr>
            <w:r>
              <w:t>客服部</w:t>
            </w:r>
          </w:p>
        </w:tc>
        <w:tc>
          <w:tcPr>
            <w:tcW w:w="960" w:type="dxa"/>
            <w:noWrap w:val="0"/>
            <w:vAlign w:val="center"/>
          </w:tcPr>
          <w:p w14:paraId="4DDC2F7B">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pPr>
            <w:r>
              <w:t>项目经理</w:t>
            </w:r>
          </w:p>
        </w:tc>
        <w:tc>
          <w:tcPr>
            <w:tcW w:w="615" w:type="dxa"/>
            <w:noWrap w:val="0"/>
            <w:vAlign w:val="center"/>
          </w:tcPr>
          <w:p w14:paraId="050A9FF5">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pPr>
            <w:r>
              <w:t>1</w:t>
            </w:r>
          </w:p>
        </w:tc>
        <w:tc>
          <w:tcPr>
            <w:tcW w:w="7062" w:type="dxa"/>
            <w:noWrap w:val="0"/>
            <w:vAlign w:val="top"/>
          </w:tcPr>
          <w:p w14:paraId="684DFA21">
            <w:pPr>
              <w:pStyle w:val="227"/>
              <w:keepNext w:val="0"/>
              <w:keepLines w:val="0"/>
              <w:pageBreakBefore w:val="0"/>
              <w:widowControl w:val="0"/>
              <w:kinsoku/>
              <w:wordWrap/>
              <w:overflowPunct/>
              <w:topLinePunct w:val="0"/>
              <w:autoSpaceDE/>
              <w:autoSpaceDN/>
              <w:bidi w:val="0"/>
              <w:adjustRightInd/>
              <w:snapToGrid/>
              <w:spacing w:line="360" w:lineRule="exact"/>
              <w:ind w:left="120" w:leftChars="50" w:right="0" w:firstLine="0" w:firstLineChars="0"/>
              <w:textAlignment w:val="auto"/>
              <w:rPr>
                <w:sz w:val="21"/>
              </w:rPr>
            </w:pPr>
            <w:r>
              <w:rPr>
                <w:sz w:val="21"/>
              </w:rPr>
              <w:t>1</w:t>
            </w:r>
            <w:r>
              <w:rPr>
                <w:spacing w:val="-7"/>
                <w:sz w:val="21"/>
              </w:rPr>
              <w:t xml:space="preserve">、项目经理 </w:t>
            </w:r>
            <w:r>
              <w:rPr>
                <w:sz w:val="21"/>
              </w:rPr>
              <w:t>1</w:t>
            </w:r>
            <w:r>
              <w:rPr>
                <w:spacing w:val="-16"/>
                <w:sz w:val="21"/>
              </w:rPr>
              <w:t xml:space="preserve"> 名</w:t>
            </w:r>
            <w:r>
              <w:rPr>
                <w:sz w:val="21"/>
              </w:rPr>
              <w:t>，</w:t>
            </w:r>
            <w:r>
              <w:rPr>
                <w:rFonts w:hint="eastAsia"/>
                <w:sz w:val="21"/>
                <w:lang w:val="en-US"/>
              </w:rPr>
              <w:t>50</w:t>
            </w:r>
            <w:r>
              <w:rPr>
                <w:spacing w:val="-7"/>
                <w:sz w:val="21"/>
              </w:rPr>
              <w:t xml:space="preserve"> 周岁以内，大专及以上文化，</w:t>
            </w:r>
            <w:r>
              <w:rPr>
                <w:spacing w:val="-5"/>
                <w:sz w:val="21"/>
              </w:rPr>
              <w:t>必须提供投标人为其缴</w:t>
            </w:r>
            <w:r>
              <w:rPr>
                <w:spacing w:val="-4"/>
                <w:sz w:val="21"/>
              </w:rPr>
              <w:t>纳的</w:t>
            </w:r>
            <w:r>
              <w:rPr>
                <w:rFonts w:hint="eastAsia"/>
                <w:spacing w:val="-4"/>
                <w:sz w:val="21"/>
                <w:lang w:eastAsia="zh-CN"/>
              </w:rPr>
              <w:t>上月或当月</w:t>
            </w:r>
            <w:r>
              <w:rPr>
                <w:spacing w:val="-4"/>
                <w:sz w:val="21"/>
              </w:rPr>
              <w:t>的社保证明；</w:t>
            </w:r>
          </w:p>
          <w:p w14:paraId="0053A0AE">
            <w:pPr>
              <w:pStyle w:val="227"/>
              <w:keepNext w:val="0"/>
              <w:keepLines w:val="0"/>
              <w:pageBreakBefore w:val="0"/>
              <w:widowControl w:val="0"/>
              <w:kinsoku/>
              <w:wordWrap/>
              <w:overflowPunct/>
              <w:topLinePunct w:val="0"/>
              <w:autoSpaceDE/>
              <w:autoSpaceDN/>
              <w:bidi w:val="0"/>
              <w:adjustRightInd/>
              <w:snapToGrid/>
              <w:spacing w:line="360" w:lineRule="exact"/>
              <w:ind w:left="120" w:leftChars="50" w:right="0" w:firstLine="0" w:firstLineChars="0"/>
              <w:textAlignment w:val="auto"/>
              <w:rPr>
                <w:sz w:val="21"/>
              </w:rPr>
            </w:pPr>
            <w:r>
              <w:rPr>
                <w:sz w:val="21"/>
              </w:rPr>
              <w:t>2、项目经理、部门主管，在公司的领导下，管理好现场安保、保洁、水电维修、绿化养护等日常事务；</w:t>
            </w:r>
          </w:p>
          <w:p w14:paraId="6859C675">
            <w:pPr>
              <w:pStyle w:val="227"/>
              <w:keepNext w:val="0"/>
              <w:keepLines w:val="0"/>
              <w:pageBreakBefore w:val="0"/>
              <w:widowControl w:val="0"/>
              <w:kinsoku/>
              <w:wordWrap/>
              <w:overflowPunct/>
              <w:topLinePunct w:val="0"/>
              <w:autoSpaceDE/>
              <w:autoSpaceDN/>
              <w:bidi w:val="0"/>
              <w:adjustRightInd/>
              <w:snapToGrid/>
              <w:spacing w:line="360" w:lineRule="exact"/>
              <w:ind w:left="120" w:leftChars="50" w:right="0" w:firstLine="0" w:firstLineChars="0"/>
              <w:textAlignment w:val="auto"/>
              <w:rPr>
                <w:sz w:val="21"/>
              </w:rPr>
            </w:pPr>
            <w:r>
              <w:rPr>
                <w:sz w:val="21"/>
              </w:rPr>
              <w:t>3、按照合同约定，履行合同职责与义务，对内组织协调，对外友好链接；</w:t>
            </w:r>
          </w:p>
          <w:p w14:paraId="0F5D3712">
            <w:pPr>
              <w:pStyle w:val="227"/>
              <w:keepNext w:val="0"/>
              <w:keepLines w:val="0"/>
              <w:pageBreakBefore w:val="0"/>
              <w:widowControl w:val="0"/>
              <w:kinsoku/>
              <w:wordWrap/>
              <w:overflowPunct/>
              <w:topLinePunct w:val="0"/>
              <w:autoSpaceDE/>
              <w:autoSpaceDN/>
              <w:bidi w:val="0"/>
              <w:adjustRightInd/>
              <w:snapToGrid/>
              <w:spacing w:line="360" w:lineRule="exact"/>
              <w:ind w:left="120" w:leftChars="50" w:right="0" w:firstLine="0" w:firstLineChars="0"/>
              <w:textAlignment w:val="auto"/>
              <w:rPr>
                <w:sz w:val="21"/>
              </w:rPr>
            </w:pPr>
            <w:r>
              <w:rPr>
                <w:sz w:val="21"/>
              </w:rPr>
              <w:t>4、负责员工的选聘、培训、考核等事务，新配或更换后的</w:t>
            </w:r>
          </w:p>
          <w:p w14:paraId="40C32A6E">
            <w:pPr>
              <w:pStyle w:val="227"/>
              <w:keepNext w:val="0"/>
              <w:keepLines w:val="0"/>
              <w:pageBreakBefore w:val="0"/>
              <w:widowControl w:val="0"/>
              <w:kinsoku/>
              <w:wordWrap/>
              <w:overflowPunct/>
              <w:topLinePunct w:val="0"/>
              <w:autoSpaceDE/>
              <w:autoSpaceDN/>
              <w:bidi w:val="0"/>
              <w:adjustRightInd/>
              <w:snapToGrid/>
              <w:spacing w:line="360" w:lineRule="exact"/>
              <w:ind w:left="120" w:leftChars="50" w:right="0" w:firstLine="0" w:firstLineChars="0"/>
              <w:textAlignment w:val="auto"/>
              <w:rPr>
                <w:sz w:val="21"/>
              </w:rPr>
            </w:pPr>
            <w:r>
              <w:rPr>
                <w:sz w:val="21"/>
              </w:rPr>
              <w:t>员工需在一周内报送甲方审核。</w:t>
            </w:r>
          </w:p>
        </w:tc>
      </w:tr>
      <w:tr w14:paraId="6AB64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8" w:hRule="atLeast"/>
          <w:jc w:val="center"/>
        </w:trPr>
        <w:tc>
          <w:tcPr>
            <w:tcW w:w="508" w:type="dxa"/>
            <w:vMerge w:val="restart"/>
            <w:noWrap w:val="0"/>
            <w:vAlign w:val="center"/>
          </w:tcPr>
          <w:p w14:paraId="5A8C51C4">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pPr>
            <w:r>
              <w:t>2</w:t>
            </w:r>
          </w:p>
        </w:tc>
        <w:tc>
          <w:tcPr>
            <w:tcW w:w="840" w:type="dxa"/>
            <w:vMerge w:val="restart"/>
            <w:noWrap w:val="0"/>
            <w:vAlign w:val="center"/>
          </w:tcPr>
          <w:p w14:paraId="6D4C72B0">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pPr>
            <w:r>
              <w:t>安保部</w:t>
            </w:r>
          </w:p>
        </w:tc>
        <w:tc>
          <w:tcPr>
            <w:tcW w:w="960" w:type="dxa"/>
            <w:noWrap w:val="0"/>
            <w:vAlign w:val="center"/>
          </w:tcPr>
          <w:p w14:paraId="6A249814">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pPr>
            <w:r>
              <w:t>保安主管</w:t>
            </w:r>
          </w:p>
        </w:tc>
        <w:tc>
          <w:tcPr>
            <w:tcW w:w="615" w:type="dxa"/>
            <w:noWrap w:val="0"/>
            <w:vAlign w:val="center"/>
          </w:tcPr>
          <w:p w14:paraId="5BBD47B9">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pPr>
            <w:r>
              <w:t>1</w:t>
            </w:r>
          </w:p>
        </w:tc>
        <w:tc>
          <w:tcPr>
            <w:tcW w:w="7062" w:type="dxa"/>
            <w:noWrap w:val="0"/>
            <w:vAlign w:val="top"/>
          </w:tcPr>
          <w:p w14:paraId="183F2350">
            <w:pPr>
              <w:pStyle w:val="227"/>
              <w:keepNext w:val="0"/>
              <w:keepLines w:val="0"/>
              <w:pageBreakBefore w:val="0"/>
              <w:widowControl w:val="0"/>
              <w:kinsoku/>
              <w:wordWrap/>
              <w:overflowPunct/>
              <w:topLinePunct w:val="0"/>
              <w:autoSpaceDE/>
              <w:autoSpaceDN/>
              <w:bidi w:val="0"/>
              <w:adjustRightInd/>
              <w:snapToGrid/>
              <w:spacing w:line="360" w:lineRule="exact"/>
              <w:ind w:left="120" w:leftChars="50" w:right="0" w:firstLine="0" w:firstLineChars="0"/>
              <w:textAlignment w:val="auto"/>
              <w:rPr>
                <w:sz w:val="21"/>
              </w:rPr>
            </w:pPr>
            <w:r>
              <w:rPr>
                <w:sz w:val="21"/>
              </w:rPr>
              <w:t>1、保安主管一名，年龄 45 周岁（含）以内，持保安员证，必须提供投标人为其缴纳的</w:t>
            </w:r>
            <w:r>
              <w:rPr>
                <w:rFonts w:hint="eastAsia"/>
                <w:sz w:val="21"/>
                <w:lang w:eastAsia="zh-CN"/>
              </w:rPr>
              <w:t>上月或当月</w:t>
            </w:r>
            <w:r>
              <w:rPr>
                <w:sz w:val="21"/>
              </w:rPr>
              <w:t>的社保证明；</w:t>
            </w:r>
          </w:p>
          <w:p w14:paraId="1525DDCD">
            <w:pPr>
              <w:pStyle w:val="227"/>
              <w:keepNext w:val="0"/>
              <w:keepLines w:val="0"/>
              <w:pageBreakBefore w:val="0"/>
              <w:widowControl w:val="0"/>
              <w:kinsoku/>
              <w:wordWrap/>
              <w:overflowPunct/>
              <w:topLinePunct w:val="0"/>
              <w:autoSpaceDE/>
              <w:autoSpaceDN/>
              <w:bidi w:val="0"/>
              <w:adjustRightInd/>
              <w:snapToGrid/>
              <w:spacing w:line="360" w:lineRule="exact"/>
              <w:ind w:left="120" w:leftChars="50" w:right="0" w:firstLine="0" w:firstLineChars="0"/>
              <w:textAlignment w:val="auto"/>
              <w:rPr>
                <w:sz w:val="21"/>
              </w:rPr>
            </w:pPr>
            <w:r>
              <w:rPr>
                <w:sz w:val="21"/>
              </w:rPr>
              <w:t>2、负责保安员的排班，调休，培训等工作；</w:t>
            </w:r>
          </w:p>
          <w:p w14:paraId="57FB1364">
            <w:pPr>
              <w:pStyle w:val="227"/>
              <w:keepNext w:val="0"/>
              <w:keepLines w:val="0"/>
              <w:pageBreakBefore w:val="0"/>
              <w:widowControl w:val="0"/>
              <w:kinsoku/>
              <w:wordWrap/>
              <w:overflowPunct/>
              <w:topLinePunct w:val="0"/>
              <w:autoSpaceDE/>
              <w:autoSpaceDN/>
              <w:bidi w:val="0"/>
              <w:adjustRightInd/>
              <w:snapToGrid/>
              <w:spacing w:line="360" w:lineRule="exact"/>
              <w:ind w:left="120" w:leftChars="50" w:right="0" w:firstLine="0" w:firstLineChars="0"/>
              <w:textAlignment w:val="auto"/>
              <w:rPr>
                <w:sz w:val="21"/>
              </w:rPr>
            </w:pPr>
            <w:r>
              <w:rPr>
                <w:sz w:val="21"/>
              </w:rPr>
              <w:t>3、白天班，负责地下室的秩序及四防安全维护；</w:t>
            </w:r>
          </w:p>
          <w:p w14:paraId="6C494464">
            <w:pPr>
              <w:pStyle w:val="227"/>
              <w:keepNext w:val="0"/>
              <w:keepLines w:val="0"/>
              <w:pageBreakBefore w:val="0"/>
              <w:widowControl w:val="0"/>
              <w:kinsoku/>
              <w:wordWrap/>
              <w:overflowPunct/>
              <w:topLinePunct w:val="0"/>
              <w:autoSpaceDE/>
              <w:autoSpaceDN/>
              <w:bidi w:val="0"/>
              <w:adjustRightInd/>
              <w:snapToGrid/>
              <w:spacing w:line="360" w:lineRule="exact"/>
              <w:ind w:left="120" w:leftChars="50" w:right="0" w:firstLine="0" w:firstLineChars="0"/>
              <w:textAlignment w:val="auto"/>
              <w:rPr>
                <w:sz w:val="21"/>
              </w:rPr>
            </w:pPr>
            <w:r>
              <w:rPr>
                <w:sz w:val="21"/>
              </w:rPr>
              <w:t>4、配合工程部，每年不少于两次消防演练。</w:t>
            </w:r>
          </w:p>
        </w:tc>
      </w:tr>
      <w:tr w14:paraId="7876F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2" w:hRule="atLeast"/>
          <w:jc w:val="center"/>
        </w:trPr>
        <w:tc>
          <w:tcPr>
            <w:tcW w:w="508" w:type="dxa"/>
            <w:vMerge w:val="continue"/>
            <w:tcBorders>
              <w:top w:val="nil"/>
            </w:tcBorders>
            <w:noWrap w:val="0"/>
            <w:vAlign w:val="center"/>
          </w:tcPr>
          <w:p w14:paraId="4543938F">
            <w:pPr>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rPr>
                <w:sz w:val="2"/>
                <w:szCs w:val="2"/>
              </w:rPr>
            </w:pPr>
          </w:p>
        </w:tc>
        <w:tc>
          <w:tcPr>
            <w:tcW w:w="840" w:type="dxa"/>
            <w:vMerge w:val="continue"/>
            <w:tcBorders>
              <w:top w:val="nil"/>
            </w:tcBorders>
            <w:noWrap w:val="0"/>
            <w:vAlign w:val="center"/>
          </w:tcPr>
          <w:p w14:paraId="3418D410">
            <w:pPr>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rPr>
                <w:sz w:val="2"/>
                <w:szCs w:val="2"/>
              </w:rPr>
            </w:pPr>
          </w:p>
        </w:tc>
        <w:tc>
          <w:tcPr>
            <w:tcW w:w="960" w:type="dxa"/>
            <w:noWrap w:val="0"/>
            <w:vAlign w:val="center"/>
          </w:tcPr>
          <w:p w14:paraId="50EFC4C5">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pPr>
            <w:r>
              <w:t>保安员</w:t>
            </w:r>
          </w:p>
        </w:tc>
        <w:tc>
          <w:tcPr>
            <w:tcW w:w="615" w:type="dxa"/>
            <w:noWrap w:val="0"/>
            <w:vAlign w:val="center"/>
          </w:tcPr>
          <w:p w14:paraId="46F69C7E">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rPr>
                <w:rFonts w:hint="eastAsia" w:eastAsia="宋体"/>
                <w:lang w:val="en-US" w:eastAsia="zh-CN"/>
              </w:rPr>
            </w:pPr>
            <w:r>
              <w:t>1</w:t>
            </w:r>
            <w:r>
              <w:rPr>
                <w:rFonts w:hint="eastAsia"/>
                <w:lang w:val="en-US" w:eastAsia="zh-CN"/>
              </w:rPr>
              <w:t>2</w:t>
            </w:r>
          </w:p>
        </w:tc>
        <w:tc>
          <w:tcPr>
            <w:tcW w:w="7062" w:type="dxa"/>
            <w:noWrap w:val="0"/>
            <w:vAlign w:val="top"/>
          </w:tcPr>
          <w:p w14:paraId="51AC34D0">
            <w:pPr>
              <w:pStyle w:val="227"/>
              <w:keepNext w:val="0"/>
              <w:keepLines w:val="0"/>
              <w:pageBreakBefore w:val="0"/>
              <w:widowControl w:val="0"/>
              <w:kinsoku/>
              <w:wordWrap/>
              <w:overflowPunct/>
              <w:topLinePunct w:val="0"/>
              <w:autoSpaceDE/>
              <w:autoSpaceDN/>
              <w:bidi w:val="0"/>
              <w:adjustRightInd/>
              <w:snapToGrid/>
              <w:spacing w:line="360" w:lineRule="exact"/>
              <w:ind w:left="120" w:leftChars="50" w:right="0" w:firstLine="0" w:firstLineChars="0"/>
              <w:textAlignment w:val="auto"/>
              <w:rPr>
                <w:rFonts w:hint="eastAsia" w:eastAsia="宋体"/>
                <w:sz w:val="21"/>
                <w:lang w:val="en-US" w:eastAsia="zh-CN"/>
              </w:rPr>
            </w:pPr>
            <w:r>
              <w:rPr>
                <w:rFonts w:hint="eastAsia"/>
                <w:sz w:val="21"/>
                <w:lang w:val="en-US" w:eastAsia="zh-CN"/>
              </w:rPr>
              <w:t>1、文化博览中心保安员10名，朱东润故居保安员2名，</w:t>
            </w:r>
            <w:r>
              <w:rPr>
                <w:sz w:val="21"/>
              </w:rPr>
              <w:t>持保安员证</w:t>
            </w:r>
            <w:r>
              <w:rPr>
                <w:rFonts w:hint="eastAsia"/>
                <w:sz w:val="21"/>
                <w:lang w:eastAsia="zh-CN"/>
              </w:rPr>
              <w:t>；</w:t>
            </w:r>
          </w:p>
          <w:p w14:paraId="4D8D9D65">
            <w:pPr>
              <w:pStyle w:val="227"/>
              <w:keepNext w:val="0"/>
              <w:keepLines w:val="0"/>
              <w:pageBreakBefore w:val="0"/>
              <w:widowControl w:val="0"/>
              <w:kinsoku/>
              <w:wordWrap/>
              <w:overflowPunct/>
              <w:topLinePunct w:val="0"/>
              <w:autoSpaceDE/>
              <w:autoSpaceDN/>
              <w:bidi w:val="0"/>
              <w:adjustRightInd/>
              <w:snapToGrid/>
              <w:spacing w:line="360" w:lineRule="exact"/>
              <w:ind w:left="120" w:leftChars="50" w:right="0" w:firstLine="0" w:firstLineChars="0"/>
              <w:textAlignment w:val="auto"/>
              <w:rPr>
                <w:rFonts w:hint="eastAsia"/>
                <w:sz w:val="21"/>
                <w:lang w:eastAsia="zh-CN"/>
              </w:rPr>
            </w:pPr>
            <w:r>
              <w:rPr>
                <w:rFonts w:hint="eastAsia"/>
                <w:sz w:val="21"/>
                <w:lang w:val="en-US" w:eastAsia="zh-CN"/>
              </w:rPr>
              <w:t>2</w:t>
            </w:r>
            <w:r>
              <w:rPr>
                <w:sz w:val="21"/>
              </w:rPr>
              <w:t>、保安员年龄男 60 周岁（含）以内、女 50 周岁（含）以内，全天候 24 小时值班，在保安主管的带领下，全面负责所辖区域的公共秩序安全</w:t>
            </w:r>
            <w:r>
              <w:rPr>
                <w:rFonts w:hint="eastAsia"/>
                <w:sz w:val="21"/>
                <w:lang w:eastAsia="zh-CN"/>
              </w:rPr>
              <w:t>。</w:t>
            </w:r>
          </w:p>
        </w:tc>
      </w:tr>
      <w:tr w14:paraId="77F12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jc w:val="center"/>
        </w:trPr>
        <w:tc>
          <w:tcPr>
            <w:tcW w:w="508" w:type="dxa"/>
            <w:vMerge w:val="restart"/>
            <w:noWrap w:val="0"/>
            <w:vAlign w:val="center"/>
          </w:tcPr>
          <w:p w14:paraId="5B52518D">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rPr>
                <w:b/>
              </w:rPr>
            </w:pPr>
          </w:p>
          <w:p w14:paraId="27063374">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rPr>
                <w:b/>
                <w:sz w:val="22"/>
              </w:rPr>
            </w:pPr>
          </w:p>
          <w:p w14:paraId="2F3686D5">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rPr>
                <w:rFonts w:hint="eastAsia" w:eastAsia="宋体"/>
                <w:lang w:eastAsia="zh-CN"/>
              </w:rPr>
            </w:pPr>
            <w:r>
              <w:rPr>
                <w:rFonts w:hint="eastAsia"/>
                <w:lang w:val="en-US" w:eastAsia="zh-CN"/>
              </w:rPr>
              <w:t>3</w:t>
            </w:r>
          </w:p>
        </w:tc>
        <w:tc>
          <w:tcPr>
            <w:tcW w:w="840" w:type="dxa"/>
            <w:vMerge w:val="restart"/>
            <w:noWrap w:val="0"/>
            <w:vAlign w:val="center"/>
          </w:tcPr>
          <w:p w14:paraId="384EF5F3">
            <w:pPr>
              <w:pStyle w:val="227"/>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jc w:val="center"/>
              <w:textAlignment w:val="auto"/>
            </w:pPr>
            <w:r>
              <w:t>工程部</w:t>
            </w:r>
          </w:p>
          <w:p w14:paraId="6DBF8510">
            <w:pPr>
              <w:pStyle w:val="227"/>
              <w:keepNext w:val="0"/>
              <w:keepLines w:val="0"/>
              <w:pageBreakBefore w:val="0"/>
              <w:widowControl w:val="0"/>
              <w:kinsoku/>
              <w:wordWrap/>
              <w:overflowPunct/>
              <w:topLinePunct w:val="0"/>
              <w:autoSpaceDE/>
              <w:autoSpaceDN/>
              <w:bidi w:val="0"/>
              <w:adjustRightInd/>
              <w:snapToGrid/>
              <w:spacing w:line="360" w:lineRule="exact"/>
              <w:ind w:left="0" w:leftChars="0" w:right="0" w:firstLine="0" w:firstLineChars="0"/>
              <w:jc w:val="center"/>
              <w:textAlignment w:val="auto"/>
            </w:pPr>
            <w:r>
              <w:t>（专业技术人员）</w:t>
            </w:r>
          </w:p>
        </w:tc>
        <w:tc>
          <w:tcPr>
            <w:tcW w:w="960" w:type="dxa"/>
            <w:noWrap w:val="0"/>
            <w:vAlign w:val="center"/>
          </w:tcPr>
          <w:p w14:paraId="5F40A9B1">
            <w:pPr>
              <w:pStyle w:val="227"/>
              <w:keepNext w:val="0"/>
              <w:keepLines w:val="0"/>
              <w:pageBreakBefore w:val="0"/>
              <w:widowControl w:val="0"/>
              <w:kinsoku/>
              <w:wordWrap/>
              <w:overflowPunct/>
              <w:topLinePunct w:val="0"/>
              <w:autoSpaceDE/>
              <w:autoSpaceDN/>
              <w:bidi w:val="0"/>
              <w:adjustRightInd/>
              <w:snapToGrid/>
              <w:spacing w:line="320" w:lineRule="exact"/>
              <w:ind w:left="0" w:leftChars="0" w:right="0" w:firstLine="0" w:firstLineChars="0"/>
              <w:jc w:val="center"/>
              <w:textAlignment w:val="auto"/>
            </w:pPr>
            <w:r>
              <w:t>工程主管（水电工）</w:t>
            </w:r>
          </w:p>
        </w:tc>
        <w:tc>
          <w:tcPr>
            <w:tcW w:w="615" w:type="dxa"/>
            <w:noWrap w:val="0"/>
            <w:vAlign w:val="center"/>
          </w:tcPr>
          <w:p w14:paraId="4EB67858">
            <w:pPr>
              <w:pStyle w:val="227"/>
              <w:keepNext w:val="0"/>
              <w:keepLines w:val="0"/>
              <w:pageBreakBefore w:val="0"/>
              <w:widowControl w:val="0"/>
              <w:kinsoku/>
              <w:wordWrap/>
              <w:overflowPunct/>
              <w:topLinePunct w:val="0"/>
              <w:autoSpaceDE/>
              <w:autoSpaceDN/>
              <w:bidi w:val="0"/>
              <w:adjustRightInd/>
              <w:snapToGrid/>
              <w:spacing w:line="320" w:lineRule="exact"/>
              <w:ind w:left="0" w:leftChars="0" w:right="0" w:firstLine="0" w:firstLineChars="0"/>
              <w:jc w:val="center"/>
              <w:textAlignment w:val="auto"/>
            </w:pPr>
            <w:r>
              <w:t>1</w:t>
            </w:r>
          </w:p>
        </w:tc>
        <w:tc>
          <w:tcPr>
            <w:tcW w:w="7062" w:type="dxa"/>
            <w:noWrap w:val="0"/>
            <w:vAlign w:val="top"/>
          </w:tcPr>
          <w:p w14:paraId="5447F79B">
            <w:pPr>
              <w:pStyle w:val="227"/>
              <w:keepNext w:val="0"/>
              <w:keepLines w:val="0"/>
              <w:pageBreakBefore w:val="0"/>
              <w:widowControl w:val="0"/>
              <w:kinsoku/>
              <w:wordWrap/>
              <w:overflowPunct/>
              <w:topLinePunct w:val="0"/>
              <w:autoSpaceDE/>
              <w:autoSpaceDN/>
              <w:bidi w:val="0"/>
              <w:adjustRightInd/>
              <w:snapToGrid/>
              <w:spacing w:line="320" w:lineRule="exact"/>
              <w:ind w:left="120" w:leftChars="50" w:right="0" w:firstLine="0" w:firstLineChars="0"/>
              <w:textAlignment w:val="auto"/>
              <w:rPr>
                <w:sz w:val="21"/>
              </w:rPr>
            </w:pPr>
            <w:r>
              <w:rPr>
                <w:sz w:val="21"/>
              </w:rPr>
              <w:t>1、工程部主管 1 名，男，年龄 55 周岁（含）以内，持有高</w:t>
            </w:r>
          </w:p>
          <w:p w14:paraId="63DD37E6">
            <w:pPr>
              <w:pStyle w:val="227"/>
              <w:keepNext w:val="0"/>
              <w:keepLines w:val="0"/>
              <w:pageBreakBefore w:val="0"/>
              <w:widowControl w:val="0"/>
              <w:kinsoku/>
              <w:wordWrap/>
              <w:overflowPunct/>
              <w:topLinePunct w:val="0"/>
              <w:autoSpaceDE/>
              <w:autoSpaceDN/>
              <w:bidi w:val="0"/>
              <w:adjustRightInd/>
              <w:snapToGrid/>
              <w:spacing w:line="320" w:lineRule="exact"/>
              <w:ind w:left="120" w:leftChars="50" w:right="0" w:firstLine="0" w:firstLineChars="0"/>
              <w:textAlignment w:val="auto"/>
              <w:rPr>
                <w:sz w:val="21"/>
              </w:rPr>
            </w:pPr>
            <w:r>
              <w:rPr>
                <w:sz w:val="21"/>
              </w:rPr>
              <w:t>压</w:t>
            </w:r>
            <w:r>
              <w:rPr>
                <w:rFonts w:hint="eastAsia"/>
                <w:sz w:val="21"/>
                <w:lang w:val="en-US" w:eastAsia="zh-CN"/>
              </w:rPr>
              <w:t>或</w:t>
            </w:r>
            <w:r>
              <w:rPr>
                <w:sz w:val="21"/>
              </w:rPr>
              <w:t>低压电工证</w:t>
            </w:r>
            <w:r>
              <w:rPr>
                <w:rFonts w:hint="eastAsia"/>
                <w:sz w:val="21"/>
                <w:lang w:eastAsia="zh-CN"/>
              </w:rPr>
              <w:t>，</w:t>
            </w:r>
            <w:r>
              <w:rPr>
                <w:sz w:val="21"/>
              </w:rPr>
              <w:t>必须提供投标人为其缴纳的</w:t>
            </w:r>
            <w:r>
              <w:rPr>
                <w:rFonts w:hint="eastAsia"/>
                <w:sz w:val="21"/>
                <w:lang w:eastAsia="zh-CN"/>
              </w:rPr>
              <w:t>上月或当月</w:t>
            </w:r>
            <w:r>
              <w:rPr>
                <w:sz w:val="21"/>
              </w:rPr>
              <w:t>的社保证明；</w:t>
            </w:r>
          </w:p>
          <w:p w14:paraId="244FE6C8">
            <w:pPr>
              <w:pStyle w:val="227"/>
              <w:keepNext w:val="0"/>
              <w:keepLines w:val="0"/>
              <w:pageBreakBefore w:val="0"/>
              <w:widowControl w:val="0"/>
              <w:kinsoku/>
              <w:wordWrap/>
              <w:overflowPunct/>
              <w:topLinePunct w:val="0"/>
              <w:autoSpaceDE/>
              <w:autoSpaceDN/>
              <w:bidi w:val="0"/>
              <w:adjustRightInd/>
              <w:snapToGrid/>
              <w:spacing w:line="320" w:lineRule="exact"/>
              <w:ind w:left="120" w:leftChars="50" w:right="0" w:firstLine="0" w:firstLineChars="0"/>
              <w:textAlignment w:val="auto"/>
              <w:rPr>
                <w:rFonts w:hint="eastAsia"/>
                <w:sz w:val="21"/>
                <w:lang w:eastAsia="zh-CN"/>
              </w:rPr>
            </w:pPr>
            <w:r>
              <w:rPr>
                <w:sz w:val="21"/>
              </w:rPr>
              <w:t>2、负责电工及消控的排班、调休、专业培训等</w:t>
            </w:r>
            <w:r>
              <w:rPr>
                <w:rFonts w:hint="eastAsia"/>
                <w:sz w:val="21"/>
                <w:lang w:eastAsia="zh-CN"/>
              </w:rPr>
              <w:t>。</w:t>
            </w:r>
          </w:p>
        </w:tc>
      </w:tr>
      <w:tr w14:paraId="10D8E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7" w:hRule="atLeast"/>
          <w:jc w:val="center"/>
        </w:trPr>
        <w:tc>
          <w:tcPr>
            <w:tcW w:w="508" w:type="dxa"/>
            <w:vMerge w:val="continue"/>
            <w:noWrap w:val="0"/>
            <w:vAlign w:val="center"/>
          </w:tcPr>
          <w:p w14:paraId="2C6BBCAB">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pPr>
          </w:p>
        </w:tc>
        <w:tc>
          <w:tcPr>
            <w:tcW w:w="840" w:type="dxa"/>
            <w:vMerge w:val="continue"/>
            <w:noWrap w:val="0"/>
            <w:vAlign w:val="center"/>
          </w:tcPr>
          <w:p w14:paraId="38ABBD7E">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pPr>
          </w:p>
        </w:tc>
        <w:tc>
          <w:tcPr>
            <w:tcW w:w="960" w:type="dxa"/>
            <w:noWrap w:val="0"/>
            <w:vAlign w:val="center"/>
          </w:tcPr>
          <w:p w14:paraId="4A5E9435">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pPr>
            <w:r>
              <w:t>水电工</w:t>
            </w:r>
          </w:p>
        </w:tc>
        <w:tc>
          <w:tcPr>
            <w:tcW w:w="615" w:type="dxa"/>
            <w:noWrap w:val="0"/>
            <w:vAlign w:val="center"/>
          </w:tcPr>
          <w:p w14:paraId="62BBD4CB">
            <w:pPr>
              <w:pStyle w:val="227"/>
              <w:keepNext w:val="0"/>
              <w:keepLines w:val="0"/>
              <w:pageBreakBefore w:val="0"/>
              <w:widowControl w:val="0"/>
              <w:kinsoku/>
              <w:wordWrap/>
              <w:overflowPunct/>
              <w:topLinePunct w:val="0"/>
              <w:autoSpaceDE/>
              <w:autoSpaceDN/>
              <w:bidi w:val="0"/>
              <w:adjustRightInd/>
              <w:snapToGrid/>
              <w:spacing w:line="500" w:lineRule="exact"/>
              <w:ind w:left="0" w:leftChars="0" w:right="0" w:firstLine="0" w:firstLineChars="0"/>
              <w:jc w:val="center"/>
              <w:textAlignment w:val="auto"/>
              <w:rPr>
                <w:rFonts w:hint="eastAsia" w:eastAsia="宋体"/>
                <w:lang w:eastAsia="zh-CN"/>
              </w:rPr>
            </w:pPr>
            <w:r>
              <w:rPr>
                <w:rFonts w:hint="eastAsia"/>
                <w:lang w:val="en-US" w:eastAsia="zh-CN"/>
              </w:rPr>
              <w:t>1</w:t>
            </w:r>
          </w:p>
        </w:tc>
        <w:tc>
          <w:tcPr>
            <w:tcW w:w="7062" w:type="dxa"/>
            <w:noWrap w:val="0"/>
            <w:vAlign w:val="top"/>
          </w:tcPr>
          <w:p w14:paraId="4EE700FD">
            <w:pPr>
              <w:pStyle w:val="227"/>
              <w:keepNext w:val="0"/>
              <w:keepLines w:val="0"/>
              <w:pageBreakBefore w:val="0"/>
              <w:widowControl w:val="0"/>
              <w:kinsoku/>
              <w:wordWrap/>
              <w:overflowPunct/>
              <w:topLinePunct w:val="0"/>
              <w:autoSpaceDE/>
              <w:autoSpaceDN/>
              <w:bidi w:val="0"/>
              <w:adjustRightInd/>
              <w:snapToGrid/>
              <w:spacing w:line="360" w:lineRule="exact"/>
              <w:ind w:left="120" w:leftChars="50" w:right="0" w:firstLine="0" w:firstLineChars="0"/>
              <w:textAlignment w:val="auto"/>
              <w:rPr>
                <w:color w:val="0000FF"/>
                <w:sz w:val="21"/>
              </w:rPr>
            </w:pPr>
            <w:r>
              <w:rPr>
                <w:sz w:val="21"/>
              </w:rPr>
              <w:t>1</w:t>
            </w:r>
            <w:r>
              <w:rPr>
                <w:spacing w:val="-12"/>
                <w:sz w:val="21"/>
              </w:rPr>
              <w:t xml:space="preserve">、水电工 </w:t>
            </w:r>
            <w:r>
              <w:rPr>
                <w:sz w:val="21"/>
              </w:rPr>
              <w:t>1</w:t>
            </w:r>
            <w:r>
              <w:rPr>
                <w:spacing w:val="-15"/>
                <w:sz w:val="21"/>
              </w:rPr>
              <w:t xml:space="preserve"> 名，男，年龄 </w:t>
            </w:r>
            <w:r>
              <w:rPr>
                <w:sz w:val="21"/>
              </w:rPr>
              <w:t>60</w:t>
            </w:r>
            <w:r>
              <w:rPr>
                <w:spacing w:val="-18"/>
                <w:sz w:val="21"/>
              </w:rPr>
              <w:t xml:space="preserve"> 周岁</w:t>
            </w:r>
            <w:r>
              <w:rPr>
                <w:spacing w:val="-3"/>
                <w:sz w:val="21"/>
              </w:rPr>
              <w:t>（</w:t>
            </w:r>
            <w:r>
              <w:rPr>
                <w:sz w:val="21"/>
              </w:rPr>
              <w:t>含</w:t>
            </w:r>
            <w:r>
              <w:rPr>
                <w:spacing w:val="-3"/>
                <w:sz w:val="21"/>
              </w:rPr>
              <w:t>）以内，持高压</w:t>
            </w:r>
            <w:r>
              <w:rPr>
                <w:rFonts w:hint="eastAsia"/>
                <w:spacing w:val="-3"/>
                <w:sz w:val="21"/>
                <w:lang w:val="en-US" w:eastAsia="zh-CN"/>
              </w:rPr>
              <w:t>或</w:t>
            </w:r>
            <w:r>
              <w:rPr>
                <w:spacing w:val="-3"/>
                <w:sz w:val="21"/>
              </w:rPr>
              <w:t>低</w:t>
            </w:r>
            <w:r>
              <w:rPr>
                <w:spacing w:val="-5"/>
                <w:sz w:val="21"/>
              </w:rPr>
              <w:t>压电工证，必须必须提供投标人为其缴</w:t>
            </w:r>
            <w:r>
              <w:rPr>
                <w:spacing w:val="-4"/>
                <w:sz w:val="21"/>
              </w:rPr>
              <w:t>纳的</w:t>
            </w:r>
            <w:r>
              <w:rPr>
                <w:rFonts w:hint="eastAsia"/>
                <w:spacing w:val="-4"/>
                <w:sz w:val="21"/>
                <w:lang w:eastAsia="zh-CN"/>
              </w:rPr>
              <w:t>上月或当月</w:t>
            </w:r>
            <w:r>
              <w:rPr>
                <w:spacing w:val="-4"/>
                <w:sz w:val="21"/>
              </w:rPr>
              <w:t>的社保证明</w:t>
            </w:r>
            <w:r>
              <w:rPr>
                <w:color w:val="0000FF"/>
                <w:spacing w:val="-9"/>
                <w:sz w:val="21"/>
              </w:rPr>
              <w:t>；</w:t>
            </w:r>
          </w:p>
          <w:p w14:paraId="03A1CE6B">
            <w:pPr>
              <w:pStyle w:val="227"/>
              <w:keepNext w:val="0"/>
              <w:keepLines w:val="0"/>
              <w:pageBreakBefore w:val="0"/>
              <w:widowControl w:val="0"/>
              <w:kinsoku/>
              <w:wordWrap/>
              <w:overflowPunct/>
              <w:topLinePunct w:val="0"/>
              <w:autoSpaceDE/>
              <w:autoSpaceDN/>
              <w:bidi w:val="0"/>
              <w:adjustRightInd/>
              <w:snapToGrid/>
              <w:spacing w:line="360" w:lineRule="exact"/>
              <w:ind w:left="120" w:leftChars="50" w:right="0" w:firstLine="0" w:firstLineChars="0"/>
              <w:textAlignment w:val="auto"/>
              <w:rPr>
                <w:sz w:val="21"/>
              </w:rPr>
            </w:pPr>
            <w:r>
              <w:rPr>
                <w:sz w:val="21"/>
              </w:rPr>
              <w:t>2、具体负责整个物管区域的水、电、门窗等设施设备的维护、养护、运行、管理，故障排除；</w:t>
            </w:r>
          </w:p>
          <w:p w14:paraId="37A79AB1">
            <w:pPr>
              <w:pStyle w:val="227"/>
              <w:keepNext w:val="0"/>
              <w:keepLines w:val="0"/>
              <w:pageBreakBefore w:val="0"/>
              <w:widowControl w:val="0"/>
              <w:kinsoku/>
              <w:wordWrap/>
              <w:overflowPunct/>
              <w:topLinePunct w:val="0"/>
              <w:autoSpaceDE/>
              <w:autoSpaceDN/>
              <w:bidi w:val="0"/>
              <w:adjustRightInd/>
              <w:snapToGrid/>
              <w:spacing w:line="360" w:lineRule="exact"/>
              <w:ind w:left="120" w:leftChars="50" w:right="0" w:firstLine="0" w:firstLineChars="0"/>
              <w:textAlignment w:val="auto"/>
              <w:rPr>
                <w:sz w:val="21"/>
              </w:rPr>
            </w:pPr>
            <w:r>
              <w:rPr>
                <w:sz w:val="21"/>
              </w:rPr>
              <w:t>3、强弱电线路改造和大型活动的配合工作等。</w:t>
            </w:r>
          </w:p>
          <w:p w14:paraId="53F4FDA7">
            <w:pPr>
              <w:pStyle w:val="227"/>
              <w:keepNext w:val="0"/>
              <w:keepLines w:val="0"/>
              <w:pageBreakBefore w:val="0"/>
              <w:widowControl w:val="0"/>
              <w:kinsoku/>
              <w:wordWrap/>
              <w:overflowPunct/>
              <w:topLinePunct w:val="0"/>
              <w:autoSpaceDE/>
              <w:autoSpaceDN/>
              <w:bidi w:val="0"/>
              <w:adjustRightInd/>
              <w:snapToGrid/>
              <w:spacing w:line="360" w:lineRule="exact"/>
              <w:ind w:left="120" w:leftChars="50" w:right="0" w:firstLine="0" w:firstLineChars="0"/>
              <w:textAlignment w:val="auto"/>
              <w:rPr>
                <w:sz w:val="21"/>
              </w:rPr>
            </w:pPr>
            <w:r>
              <w:rPr>
                <w:sz w:val="21"/>
              </w:rPr>
              <w:t>4</w:t>
            </w:r>
            <w:r>
              <w:rPr>
                <w:spacing w:val="-4"/>
                <w:sz w:val="21"/>
              </w:rPr>
              <w:t>、遇突发事件确保随叫随到，有突发事件应变处置的能力；</w:t>
            </w:r>
          </w:p>
          <w:p w14:paraId="048D6883">
            <w:pPr>
              <w:pStyle w:val="227"/>
              <w:keepNext w:val="0"/>
              <w:keepLines w:val="0"/>
              <w:pageBreakBefore w:val="0"/>
              <w:widowControl w:val="0"/>
              <w:kinsoku/>
              <w:wordWrap/>
              <w:overflowPunct/>
              <w:topLinePunct w:val="0"/>
              <w:autoSpaceDE/>
              <w:autoSpaceDN/>
              <w:bidi w:val="0"/>
              <w:adjustRightInd/>
              <w:snapToGrid/>
              <w:spacing w:line="360" w:lineRule="exact"/>
              <w:ind w:left="120" w:leftChars="50" w:right="0" w:firstLine="0" w:firstLineChars="0"/>
              <w:textAlignment w:val="auto"/>
              <w:rPr>
                <w:sz w:val="21"/>
              </w:rPr>
            </w:pPr>
            <w:r>
              <w:rPr>
                <w:sz w:val="21"/>
              </w:rPr>
              <w:t>5</w:t>
            </w:r>
            <w:r>
              <w:rPr>
                <w:spacing w:val="-5"/>
                <w:sz w:val="21"/>
              </w:rPr>
              <w:t>、配合消防、电梯、中央空调等维保单位进行维保、检修。</w:t>
            </w:r>
          </w:p>
        </w:tc>
      </w:tr>
      <w:tr w14:paraId="2D6ED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8" w:hRule="atLeast"/>
          <w:jc w:val="center"/>
        </w:trPr>
        <w:tc>
          <w:tcPr>
            <w:tcW w:w="508" w:type="dxa"/>
            <w:noWrap w:val="0"/>
            <w:vAlign w:val="center"/>
          </w:tcPr>
          <w:p w14:paraId="27435E42">
            <w:pPr>
              <w:pStyle w:val="227"/>
              <w:keepNext w:val="0"/>
              <w:keepLines w:val="0"/>
              <w:pageBreakBefore w:val="0"/>
              <w:widowControl w:val="0"/>
              <w:kinsoku/>
              <w:wordWrap/>
              <w:overflowPunct/>
              <w:topLinePunct w:val="0"/>
              <w:autoSpaceDE/>
              <w:autoSpaceDN/>
              <w:bidi w:val="0"/>
              <w:adjustRightInd/>
              <w:snapToGrid/>
              <w:spacing w:line="400" w:lineRule="exact"/>
              <w:ind w:left="0" w:leftChars="0" w:right="0" w:firstLine="0" w:firstLineChars="0"/>
              <w:jc w:val="center"/>
              <w:textAlignment w:val="auto"/>
              <w:rPr>
                <w:rFonts w:hint="eastAsia" w:ascii="Times New Roman" w:eastAsia="宋体"/>
                <w:sz w:val="20"/>
                <w:lang w:val="en-US" w:eastAsia="zh-CN"/>
              </w:rPr>
            </w:pPr>
            <w:r>
              <w:rPr>
                <w:rFonts w:hint="eastAsia" w:ascii="Times New Roman"/>
                <w:sz w:val="20"/>
                <w:lang w:val="en-US" w:eastAsia="zh-CN"/>
              </w:rPr>
              <w:t>4</w:t>
            </w:r>
          </w:p>
        </w:tc>
        <w:tc>
          <w:tcPr>
            <w:tcW w:w="840" w:type="dxa"/>
            <w:noWrap w:val="0"/>
            <w:vAlign w:val="center"/>
          </w:tcPr>
          <w:p w14:paraId="3DE29C7F">
            <w:pPr>
              <w:pStyle w:val="227"/>
              <w:keepNext w:val="0"/>
              <w:keepLines w:val="0"/>
              <w:pageBreakBefore w:val="0"/>
              <w:widowControl w:val="0"/>
              <w:kinsoku/>
              <w:wordWrap/>
              <w:overflowPunct/>
              <w:topLinePunct w:val="0"/>
              <w:autoSpaceDE/>
              <w:autoSpaceDN/>
              <w:bidi w:val="0"/>
              <w:adjustRightInd/>
              <w:snapToGrid/>
              <w:spacing w:line="400" w:lineRule="exact"/>
              <w:ind w:left="0" w:leftChars="0" w:right="0" w:firstLine="0" w:firstLineChars="0"/>
              <w:jc w:val="center"/>
              <w:textAlignment w:val="auto"/>
              <w:rPr>
                <w:rFonts w:hint="default" w:ascii="Times New Roman" w:eastAsia="宋体"/>
                <w:sz w:val="20"/>
                <w:lang w:val="en-US" w:eastAsia="zh-CN"/>
              </w:rPr>
            </w:pPr>
            <w:r>
              <w:rPr>
                <w:rFonts w:hint="eastAsia"/>
                <w:lang w:val="en-US" w:eastAsia="zh-CN"/>
              </w:rPr>
              <w:t>消控员</w:t>
            </w:r>
          </w:p>
        </w:tc>
        <w:tc>
          <w:tcPr>
            <w:tcW w:w="960" w:type="dxa"/>
            <w:noWrap w:val="0"/>
            <w:vAlign w:val="center"/>
          </w:tcPr>
          <w:p w14:paraId="414D7EE1">
            <w:pPr>
              <w:pStyle w:val="227"/>
              <w:keepNext w:val="0"/>
              <w:keepLines w:val="0"/>
              <w:pageBreakBefore w:val="0"/>
              <w:widowControl w:val="0"/>
              <w:kinsoku/>
              <w:wordWrap/>
              <w:overflowPunct/>
              <w:topLinePunct w:val="0"/>
              <w:autoSpaceDE/>
              <w:autoSpaceDN/>
              <w:bidi w:val="0"/>
              <w:adjustRightInd/>
              <w:snapToGrid/>
              <w:spacing w:line="400" w:lineRule="exact"/>
              <w:ind w:left="0" w:leftChars="0" w:right="0" w:firstLine="0" w:firstLineChars="0"/>
              <w:jc w:val="center"/>
              <w:textAlignment w:val="auto"/>
            </w:pPr>
            <w:r>
              <w:t>消控员</w:t>
            </w:r>
          </w:p>
        </w:tc>
        <w:tc>
          <w:tcPr>
            <w:tcW w:w="615" w:type="dxa"/>
            <w:noWrap w:val="0"/>
            <w:vAlign w:val="center"/>
          </w:tcPr>
          <w:p w14:paraId="42439374">
            <w:pPr>
              <w:pStyle w:val="227"/>
              <w:keepNext w:val="0"/>
              <w:keepLines w:val="0"/>
              <w:pageBreakBefore w:val="0"/>
              <w:widowControl w:val="0"/>
              <w:kinsoku/>
              <w:wordWrap/>
              <w:overflowPunct/>
              <w:topLinePunct w:val="0"/>
              <w:autoSpaceDE/>
              <w:autoSpaceDN/>
              <w:bidi w:val="0"/>
              <w:adjustRightInd/>
              <w:snapToGrid/>
              <w:spacing w:line="400" w:lineRule="exact"/>
              <w:ind w:left="0" w:leftChars="0" w:right="0" w:firstLine="0" w:firstLineChars="0"/>
              <w:jc w:val="center"/>
              <w:textAlignment w:val="auto"/>
              <w:rPr>
                <w:rFonts w:hint="eastAsia" w:eastAsia="宋体"/>
                <w:lang w:eastAsia="zh-CN"/>
              </w:rPr>
            </w:pPr>
            <w:r>
              <w:rPr>
                <w:rFonts w:hint="eastAsia"/>
                <w:lang w:val="en-US" w:eastAsia="zh-CN"/>
              </w:rPr>
              <w:t>7</w:t>
            </w:r>
          </w:p>
        </w:tc>
        <w:tc>
          <w:tcPr>
            <w:tcW w:w="7062" w:type="dxa"/>
            <w:noWrap w:val="0"/>
            <w:vAlign w:val="center"/>
          </w:tcPr>
          <w:p w14:paraId="6D587B5B">
            <w:pPr>
              <w:pStyle w:val="227"/>
              <w:keepNext w:val="0"/>
              <w:keepLines w:val="0"/>
              <w:pageBreakBefore w:val="0"/>
              <w:widowControl w:val="0"/>
              <w:kinsoku/>
              <w:wordWrap/>
              <w:overflowPunct/>
              <w:topLinePunct w:val="0"/>
              <w:autoSpaceDE/>
              <w:autoSpaceDN/>
              <w:bidi w:val="0"/>
              <w:adjustRightInd/>
              <w:snapToGrid/>
              <w:spacing w:line="320" w:lineRule="exact"/>
              <w:ind w:left="120" w:leftChars="50" w:right="0" w:firstLine="0" w:firstLineChars="0"/>
              <w:textAlignment w:val="auto"/>
              <w:rPr>
                <w:rFonts w:hint="eastAsia"/>
                <w:sz w:val="21"/>
              </w:rPr>
            </w:pPr>
            <w:r>
              <w:rPr>
                <w:rFonts w:hint="eastAsia"/>
                <w:sz w:val="21"/>
              </w:rPr>
              <w:t>1、消控员</w:t>
            </w:r>
            <w:r>
              <w:rPr>
                <w:rFonts w:hint="eastAsia"/>
                <w:sz w:val="21"/>
                <w:lang w:val="en-US" w:eastAsia="zh-CN"/>
              </w:rPr>
              <w:t>:男 60 周岁（含）以内、女 50 周岁（含）以内，</w:t>
            </w:r>
            <w:r>
              <w:rPr>
                <w:rFonts w:hint="eastAsia"/>
                <w:sz w:val="21"/>
              </w:rPr>
              <w:t>持</w:t>
            </w:r>
            <w:r>
              <w:rPr>
                <w:rFonts w:hint="eastAsia"/>
                <w:sz w:val="21"/>
                <w:lang w:val="en-US" w:eastAsia="zh-CN"/>
              </w:rPr>
              <w:t>消防设施操作员证</w:t>
            </w:r>
            <w:r>
              <w:rPr>
                <w:rFonts w:hint="eastAsia"/>
                <w:sz w:val="21"/>
                <w:lang w:eastAsia="zh-CN"/>
              </w:rPr>
              <w:t>，</w:t>
            </w:r>
            <w:r>
              <w:rPr>
                <w:rFonts w:hint="eastAsia"/>
                <w:sz w:val="21"/>
              </w:rPr>
              <w:t>必须提供投标人为其缴纳的</w:t>
            </w:r>
            <w:r>
              <w:rPr>
                <w:rFonts w:hint="eastAsia"/>
                <w:color w:val="auto"/>
                <w:sz w:val="21"/>
                <w:lang w:eastAsia="zh-CN"/>
              </w:rPr>
              <w:t>上月或当月</w:t>
            </w:r>
            <w:r>
              <w:rPr>
                <w:rFonts w:hint="eastAsia"/>
                <w:sz w:val="21"/>
              </w:rPr>
              <w:t>的社保证明；</w:t>
            </w:r>
          </w:p>
          <w:p w14:paraId="0DBE72CE">
            <w:pPr>
              <w:pStyle w:val="227"/>
              <w:keepNext w:val="0"/>
              <w:keepLines w:val="0"/>
              <w:pageBreakBefore w:val="0"/>
              <w:widowControl w:val="0"/>
              <w:kinsoku/>
              <w:wordWrap/>
              <w:overflowPunct/>
              <w:topLinePunct w:val="0"/>
              <w:autoSpaceDE/>
              <w:autoSpaceDN/>
              <w:bidi w:val="0"/>
              <w:adjustRightInd/>
              <w:snapToGrid/>
              <w:spacing w:line="320" w:lineRule="exact"/>
              <w:ind w:left="120" w:leftChars="50" w:right="0" w:firstLine="0" w:firstLineChars="0"/>
              <w:textAlignment w:val="auto"/>
              <w:rPr>
                <w:rFonts w:hint="eastAsia"/>
                <w:sz w:val="21"/>
                <w:lang w:val="zh-CN" w:eastAsia="zh-CN"/>
              </w:rPr>
            </w:pPr>
            <w:r>
              <w:rPr>
                <w:rFonts w:hint="eastAsia"/>
                <w:sz w:val="21"/>
              </w:rPr>
              <w:t>2</w:t>
            </w:r>
            <w:r>
              <w:rPr>
                <w:rFonts w:hint="eastAsia"/>
                <w:sz w:val="21"/>
                <w:lang w:val="zh-CN" w:eastAsia="zh-CN"/>
              </w:rPr>
              <w:t>、消防监控室 24 小时值守，做好馆区的</w:t>
            </w:r>
            <w:r>
              <w:rPr>
                <w:rFonts w:hint="eastAsia"/>
                <w:sz w:val="21"/>
                <w:lang w:val="en-US" w:eastAsia="zh-CN"/>
              </w:rPr>
              <w:t>消防安全防范及应急措置</w:t>
            </w:r>
            <w:r>
              <w:rPr>
                <w:rFonts w:hint="eastAsia"/>
                <w:sz w:val="21"/>
                <w:lang w:val="zh-CN" w:eastAsia="zh-CN"/>
              </w:rPr>
              <w:t>工作；</w:t>
            </w:r>
          </w:p>
          <w:p w14:paraId="6D2F5EC3">
            <w:pPr>
              <w:pStyle w:val="227"/>
              <w:keepNext w:val="0"/>
              <w:keepLines w:val="0"/>
              <w:pageBreakBefore w:val="0"/>
              <w:widowControl w:val="0"/>
              <w:kinsoku/>
              <w:wordWrap/>
              <w:overflowPunct/>
              <w:topLinePunct w:val="0"/>
              <w:autoSpaceDE/>
              <w:autoSpaceDN/>
              <w:bidi w:val="0"/>
              <w:adjustRightInd/>
              <w:snapToGrid/>
              <w:spacing w:line="320" w:lineRule="exact"/>
              <w:ind w:left="120" w:leftChars="50" w:right="0" w:firstLine="0" w:firstLineChars="0"/>
              <w:textAlignment w:val="auto"/>
              <w:rPr>
                <w:sz w:val="21"/>
              </w:rPr>
            </w:pPr>
            <w:r>
              <w:rPr>
                <w:rFonts w:hint="eastAsia"/>
                <w:sz w:val="21"/>
                <w:lang w:val="zh-CN" w:eastAsia="zh-CN"/>
              </w:rPr>
              <w:t>3、</w:t>
            </w:r>
            <w:r>
              <w:rPr>
                <w:rFonts w:hint="eastAsia"/>
                <w:sz w:val="21"/>
                <w:lang w:val="en-US" w:eastAsia="zh-CN"/>
              </w:rPr>
              <w:t>熟练掌握消防设施设备的使用并</w:t>
            </w:r>
            <w:r>
              <w:rPr>
                <w:rFonts w:hint="eastAsia"/>
                <w:sz w:val="21"/>
                <w:lang w:val="zh-CN" w:eastAsia="zh-CN"/>
              </w:rPr>
              <w:t>组织做好消防演习工作</w:t>
            </w:r>
            <w:r>
              <w:rPr>
                <w:rFonts w:hint="eastAsia"/>
                <w:sz w:val="21"/>
              </w:rPr>
              <w:t>。</w:t>
            </w:r>
          </w:p>
        </w:tc>
      </w:tr>
      <w:tr w14:paraId="1ADEA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4" w:hRule="atLeast"/>
          <w:jc w:val="center"/>
        </w:trPr>
        <w:tc>
          <w:tcPr>
            <w:tcW w:w="508" w:type="dxa"/>
            <w:vMerge w:val="restart"/>
            <w:noWrap w:val="0"/>
            <w:vAlign w:val="center"/>
          </w:tcPr>
          <w:p w14:paraId="39C95315">
            <w:pPr>
              <w:pStyle w:val="227"/>
              <w:keepNext w:val="0"/>
              <w:keepLines w:val="0"/>
              <w:pageBreakBefore w:val="0"/>
              <w:widowControl w:val="0"/>
              <w:kinsoku/>
              <w:wordWrap/>
              <w:overflowPunct/>
              <w:topLinePunct w:val="0"/>
              <w:autoSpaceDE/>
              <w:autoSpaceDN/>
              <w:bidi w:val="0"/>
              <w:adjustRightInd/>
              <w:snapToGrid/>
              <w:spacing w:line="400" w:lineRule="exact"/>
              <w:ind w:left="0" w:leftChars="0" w:right="0" w:firstLine="0" w:firstLineChars="0"/>
              <w:jc w:val="center"/>
              <w:textAlignment w:val="auto"/>
              <w:rPr>
                <w:rFonts w:hint="eastAsia" w:eastAsia="宋体"/>
                <w:lang w:eastAsia="zh-CN"/>
              </w:rPr>
            </w:pPr>
            <w:r>
              <w:rPr>
                <w:rFonts w:hint="eastAsia"/>
                <w:lang w:val="en-US" w:eastAsia="zh-CN"/>
              </w:rPr>
              <w:t>5</w:t>
            </w:r>
          </w:p>
        </w:tc>
        <w:tc>
          <w:tcPr>
            <w:tcW w:w="840" w:type="dxa"/>
            <w:vMerge w:val="restart"/>
            <w:noWrap w:val="0"/>
            <w:vAlign w:val="center"/>
          </w:tcPr>
          <w:p w14:paraId="7F62B531">
            <w:pPr>
              <w:pStyle w:val="227"/>
              <w:keepNext w:val="0"/>
              <w:keepLines w:val="0"/>
              <w:pageBreakBefore w:val="0"/>
              <w:widowControl w:val="0"/>
              <w:kinsoku/>
              <w:wordWrap/>
              <w:overflowPunct/>
              <w:topLinePunct w:val="0"/>
              <w:autoSpaceDE/>
              <w:autoSpaceDN/>
              <w:bidi w:val="0"/>
              <w:adjustRightInd/>
              <w:snapToGrid/>
              <w:spacing w:line="400" w:lineRule="exact"/>
              <w:ind w:left="0" w:leftChars="0" w:right="0" w:firstLine="0" w:firstLineChars="0"/>
              <w:jc w:val="center"/>
              <w:textAlignment w:val="auto"/>
            </w:pPr>
            <w:r>
              <w:t>环境部</w:t>
            </w:r>
          </w:p>
        </w:tc>
        <w:tc>
          <w:tcPr>
            <w:tcW w:w="960" w:type="dxa"/>
            <w:noWrap w:val="0"/>
            <w:vAlign w:val="center"/>
          </w:tcPr>
          <w:p w14:paraId="59C9C889">
            <w:pPr>
              <w:pStyle w:val="227"/>
              <w:keepNext w:val="0"/>
              <w:keepLines w:val="0"/>
              <w:pageBreakBefore w:val="0"/>
              <w:widowControl w:val="0"/>
              <w:kinsoku/>
              <w:wordWrap/>
              <w:overflowPunct/>
              <w:topLinePunct w:val="0"/>
              <w:autoSpaceDE/>
              <w:autoSpaceDN/>
              <w:bidi w:val="0"/>
              <w:adjustRightInd/>
              <w:snapToGrid/>
              <w:spacing w:line="400" w:lineRule="exact"/>
              <w:ind w:left="0" w:leftChars="0" w:right="0" w:firstLine="0" w:firstLineChars="0"/>
              <w:jc w:val="center"/>
              <w:textAlignment w:val="auto"/>
            </w:pPr>
            <w:r>
              <w:t>保洁员</w:t>
            </w:r>
          </w:p>
        </w:tc>
        <w:tc>
          <w:tcPr>
            <w:tcW w:w="615" w:type="dxa"/>
            <w:noWrap w:val="0"/>
            <w:vAlign w:val="center"/>
          </w:tcPr>
          <w:p w14:paraId="0C5CCC87">
            <w:pPr>
              <w:pStyle w:val="227"/>
              <w:keepNext w:val="0"/>
              <w:keepLines w:val="0"/>
              <w:pageBreakBefore w:val="0"/>
              <w:widowControl w:val="0"/>
              <w:kinsoku/>
              <w:wordWrap/>
              <w:overflowPunct/>
              <w:topLinePunct w:val="0"/>
              <w:autoSpaceDE/>
              <w:autoSpaceDN/>
              <w:bidi w:val="0"/>
              <w:adjustRightInd/>
              <w:snapToGrid/>
              <w:spacing w:line="400" w:lineRule="exact"/>
              <w:ind w:left="0" w:leftChars="0" w:right="0" w:firstLine="0" w:firstLineChars="0"/>
              <w:jc w:val="center"/>
              <w:textAlignment w:val="auto"/>
            </w:pPr>
            <w:r>
              <w:t>5</w:t>
            </w:r>
          </w:p>
        </w:tc>
        <w:tc>
          <w:tcPr>
            <w:tcW w:w="7062" w:type="dxa"/>
            <w:noWrap w:val="0"/>
            <w:vAlign w:val="center"/>
          </w:tcPr>
          <w:p w14:paraId="0712586B">
            <w:pPr>
              <w:pStyle w:val="227"/>
              <w:keepNext w:val="0"/>
              <w:keepLines w:val="0"/>
              <w:pageBreakBefore w:val="0"/>
              <w:widowControl w:val="0"/>
              <w:kinsoku/>
              <w:wordWrap/>
              <w:overflowPunct/>
              <w:topLinePunct w:val="0"/>
              <w:autoSpaceDE/>
              <w:autoSpaceDN/>
              <w:bidi w:val="0"/>
              <w:adjustRightInd/>
              <w:snapToGrid/>
              <w:spacing w:line="400" w:lineRule="exact"/>
              <w:ind w:left="120" w:leftChars="50" w:right="0" w:firstLine="0" w:firstLineChars="0"/>
              <w:textAlignment w:val="auto"/>
              <w:rPr>
                <w:sz w:val="21"/>
              </w:rPr>
            </w:pPr>
            <w:r>
              <w:rPr>
                <w:sz w:val="21"/>
              </w:rPr>
              <w:t>保洁员年龄男不超过 60 周岁，女不超过 50 周岁，做好物管区域内的卫生保洁工作。</w:t>
            </w:r>
          </w:p>
        </w:tc>
      </w:tr>
      <w:tr w14:paraId="61603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5" w:hRule="atLeast"/>
          <w:jc w:val="center"/>
        </w:trPr>
        <w:tc>
          <w:tcPr>
            <w:tcW w:w="508" w:type="dxa"/>
            <w:vMerge w:val="continue"/>
            <w:tcBorders>
              <w:top w:val="nil"/>
            </w:tcBorders>
            <w:noWrap w:val="0"/>
            <w:vAlign w:val="center"/>
          </w:tcPr>
          <w:p w14:paraId="13F77EE4">
            <w:pPr>
              <w:keepNext w:val="0"/>
              <w:keepLines w:val="0"/>
              <w:pageBreakBefore w:val="0"/>
              <w:widowControl w:val="0"/>
              <w:kinsoku/>
              <w:wordWrap/>
              <w:overflowPunct/>
              <w:topLinePunct w:val="0"/>
              <w:autoSpaceDE/>
              <w:autoSpaceDN/>
              <w:bidi w:val="0"/>
              <w:adjustRightInd/>
              <w:snapToGrid/>
              <w:spacing w:line="400" w:lineRule="exact"/>
              <w:ind w:left="0" w:leftChars="0" w:right="0" w:firstLine="0" w:firstLineChars="0"/>
              <w:jc w:val="center"/>
              <w:textAlignment w:val="auto"/>
              <w:rPr>
                <w:sz w:val="2"/>
                <w:szCs w:val="2"/>
              </w:rPr>
            </w:pPr>
          </w:p>
        </w:tc>
        <w:tc>
          <w:tcPr>
            <w:tcW w:w="840" w:type="dxa"/>
            <w:vMerge w:val="continue"/>
            <w:tcBorders>
              <w:top w:val="nil"/>
            </w:tcBorders>
            <w:noWrap w:val="0"/>
            <w:vAlign w:val="center"/>
          </w:tcPr>
          <w:p w14:paraId="0FF536E8">
            <w:pPr>
              <w:keepNext w:val="0"/>
              <w:keepLines w:val="0"/>
              <w:pageBreakBefore w:val="0"/>
              <w:widowControl w:val="0"/>
              <w:kinsoku/>
              <w:wordWrap/>
              <w:overflowPunct/>
              <w:topLinePunct w:val="0"/>
              <w:autoSpaceDE/>
              <w:autoSpaceDN/>
              <w:bidi w:val="0"/>
              <w:adjustRightInd/>
              <w:snapToGrid/>
              <w:spacing w:line="400" w:lineRule="exact"/>
              <w:ind w:left="0" w:leftChars="0" w:right="0" w:firstLine="0" w:firstLineChars="0"/>
              <w:jc w:val="center"/>
              <w:textAlignment w:val="auto"/>
              <w:rPr>
                <w:sz w:val="2"/>
                <w:szCs w:val="2"/>
              </w:rPr>
            </w:pPr>
          </w:p>
        </w:tc>
        <w:tc>
          <w:tcPr>
            <w:tcW w:w="960" w:type="dxa"/>
            <w:noWrap w:val="0"/>
            <w:vAlign w:val="center"/>
          </w:tcPr>
          <w:p w14:paraId="18740ABC">
            <w:pPr>
              <w:pStyle w:val="227"/>
              <w:keepNext w:val="0"/>
              <w:keepLines w:val="0"/>
              <w:pageBreakBefore w:val="0"/>
              <w:widowControl w:val="0"/>
              <w:kinsoku/>
              <w:wordWrap/>
              <w:overflowPunct/>
              <w:topLinePunct w:val="0"/>
              <w:autoSpaceDE/>
              <w:autoSpaceDN/>
              <w:bidi w:val="0"/>
              <w:adjustRightInd/>
              <w:snapToGrid/>
              <w:spacing w:line="320" w:lineRule="exact"/>
              <w:ind w:left="120" w:leftChars="50" w:right="0" w:firstLine="0" w:firstLineChars="0"/>
              <w:textAlignment w:val="auto"/>
            </w:pPr>
            <w:r>
              <w:rPr>
                <w:sz w:val="21"/>
              </w:rPr>
              <w:t>绿化养护工</w:t>
            </w:r>
            <w:r>
              <w:rPr>
                <w:rFonts w:hint="eastAsia"/>
                <w:sz w:val="21"/>
                <w:lang w:eastAsia="zh-CN"/>
              </w:rPr>
              <w:t>、</w:t>
            </w:r>
            <w:r>
              <w:rPr>
                <w:sz w:val="21"/>
              </w:rPr>
              <w:t>景观鱼饲养员</w:t>
            </w:r>
          </w:p>
        </w:tc>
        <w:tc>
          <w:tcPr>
            <w:tcW w:w="615" w:type="dxa"/>
            <w:noWrap w:val="0"/>
            <w:vAlign w:val="center"/>
          </w:tcPr>
          <w:p w14:paraId="60E1D127">
            <w:pPr>
              <w:pStyle w:val="227"/>
              <w:keepNext w:val="0"/>
              <w:keepLines w:val="0"/>
              <w:pageBreakBefore w:val="0"/>
              <w:widowControl w:val="0"/>
              <w:kinsoku/>
              <w:wordWrap/>
              <w:overflowPunct/>
              <w:topLinePunct w:val="0"/>
              <w:autoSpaceDE/>
              <w:autoSpaceDN/>
              <w:bidi w:val="0"/>
              <w:adjustRightInd/>
              <w:snapToGrid/>
              <w:spacing w:line="400" w:lineRule="exact"/>
              <w:ind w:left="0" w:leftChars="0" w:right="0" w:firstLine="0" w:firstLineChars="0"/>
              <w:jc w:val="center"/>
              <w:textAlignment w:val="auto"/>
            </w:pPr>
            <w:r>
              <w:t>1</w:t>
            </w:r>
          </w:p>
        </w:tc>
        <w:tc>
          <w:tcPr>
            <w:tcW w:w="7062" w:type="dxa"/>
            <w:noWrap w:val="0"/>
            <w:vAlign w:val="center"/>
          </w:tcPr>
          <w:p w14:paraId="41DE7401">
            <w:pPr>
              <w:pStyle w:val="227"/>
              <w:keepNext w:val="0"/>
              <w:keepLines w:val="0"/>
              <w:pageBreakBefore w:val="0"/>
              <w:widowControl w:val="0"/>
              <w:kinsoku/>
              <w:wordWrap/>
              <w:overflowPunct/>
              <w:topLinePunct w:val="0"/>
              <w:autoSpaceDE/>
              <w:autoSpaceDN/>
              <w:bidi w:val="0"/>
              <w:adjustRightInd/>
              <w:snapToGrid/>
              <w:spacing w:line="400" w:lineRule="exact"/>
              <w:ind w:left="120" w:leftChars="50" w:right="0" w:firstLine="0" w:firstLineChars="0"/>
              <w:textAlignment w:val="auto"/>
              <w:rPr>
                <w:sz w:val="21"/>
              </w:rPr>
            </w:pPr>
            <w:r>
              <w:rPr>
                <w:sz w:val="21"/>
              </w:rPr>
              <w:t>1、绿化养护工年龄男不超过 60 周岁，女不超过 50 周岁；</w:t>
            </w:r>
          </w:p>
          <w:p w14:paraId="7E1025CC">
            <w:pPr>
              <w:pStyle w:val="227"/>
              <w:keepNext w:val="0"/>
              <w:keepLines w:val="0"/>
              <w:pageBreakBefore w:val="0"/>
              <w:widowControl w:val="0"/>
              <w:kinsoku/>
              <w:wordWrap/>
              <w:overflowPunct/>
              <w:topLinePunct w:val="0"/>
              <w:autoSpaceDE/>
              <w:autoSpaceDN/>
              <w:bidi w:val="0"/>
              <w:adjustRightInd/>
              <w:snapToGrid/>
              <w:spacing w:line="400" w:lineRule="exact"/>
              <w:ind w:left="120" w:leftChars="50" w:right="0" w:firstLine="0" w:firstLineChars="0"/>
              <w:textAlignment w:val="auto"/>
              <w:rPr>
                <w:sz w:val="21"/>
              </w:rPr>
            </w:pPr>
            <w:r>
              <w:rPr>
                <w:sz w:val="21"/>
              </w:rPr>
              <w:t>2、负责整个馆区的绿化维护，确保绿植长势旺盛，无大面积死亡、虫害。</w:t>
            </w:r>
          </w:p>
          <w:p w14:paraId="568549C9">
            <w:pPr>
              <w:pStyle w:val="227"/>
              <w:keepNext w:val="0"/>
              <w:keepLines w:val="0"/>
              <w:pageBreakBefore w:val="0"/>
              <w:widowControl w:val="0"/>
              <w:kinsoku/>
              <w:wordWrap/>
              <w:overflowPunct/>
              <w:topLinePunct w:val="0"/>
              <w:autoSpaceDE/>
              <w:autoSpaceDN/>
              <w:bidi w:val="0"/>
              <w:adjustRightInd/>
              <w:snapToGrid/>
              <w:spacing w:line="400" w:lineRule="exact"/>
              <w:ind w:left="120" w:leftChars="50" w:right="0" w:firstLine="0" w:firstLineChars="0"/>
              <w:textAlignment w:val="auto"/>
              <w:rPr>
                <w:sz w:val="21"/>
              </w:rPr>
            </w:pPr>
            <w:r>
              <w:rPr>
                <w:rFonts w:hint="eastAsia"/>
                <w:sz w:val="21"/>
                <w:lang w:val="en-US" w:eastAsia="zh-CN"/>
              </w:rPr>
              <w:t>3、</w:t>
            </w:r>
            <w:r>
              <w:rPr>
                <w:sz w:val="21"/>
              </w:rPr>
              <w:t>负责馆区的景观鱼喂养，定期给鱼池清淤、换水。</w:t>
            </w:r>
          </w:p>
        </w:tc>
      </w:tr>
      <w:tr w14:paraId="26868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4" w:hRule="atLeast"/>
          <w:jc w:val="center"/>
        </w:trPr>
        <w:tc>
          <w:tcPr>
            <w:tcW w:w="508" w:type="dxa"/>
            <w:tcBorders>
              <w:top w:val="nil"/>
            </w:tcBorders>
            <w:noWrap w:val="0"/>
            <w:vAlign w:val="center"/>
          </w:tcPr>
          <w:p w14:paraId="7673398A">
            <w:pPr>
              <w:pStyle w:val="227"/>
              <w:keepNext w:val="0"/>
              <w:keepLines w:val="0"/>
              <w:pageBreakBefore w:val="0"/>
              <w:widowControl w:val="0"/>
              <w:kinsoku/>
              <w:wordWrap/>
              <w:overflowPunct/>
              <w:topLinePunct w:val="0"/>
              <w:autoSpaceDE/>
              <w:autoSpaceDN/>
              <w:bidi w:val="0"/>
              <w:adjustRightInd/>
              <w:snapToGrid/>
              <w:spacing w:line="400" w:lineRule="exact"/>
              <w:ind w:left="0" w:leftChars="0" w:right="0" w:firstLine="0" w:firstLineChars="0"/>
              <w:jc w:val="center"/>
              <w:textAlignment w:val="auto"/>
              <w:rPr>
                <w:rFonts w:hint="eastAsia" w:eastAsia="宋体"/>
                <w:sz w:val="2"/>
                <w:szCs w:val="2"/>
                <w:lang w:val="en-US" w:eastAsia="zh-CN"/>
              </w:rPr>
            </w:pPr>
            <w:r>
              <w:rPr>
                <w:rFonts w:hint="eastAsia"/>
                <w:lang w:val="en-US" w:eastAsia="zh-CN"/>
              </w:rPr>
              <w:t>6</w:t>
            </w:r>
          </w:p>
        </w:tc>
        <w:tc>
          <w:tcPr>
            <w:tcW w:w="840" w:type="dxa"/>
            <w:tcBorders>
              <w:top w:val="nil"/>
            </w:tcBorders>
            <w:noWrap w:val="0"/>
            <w:vAlign w:val="center"/>
          </w:tcPr>
          <w:p w14:paraId="7FBC08BB">
            <w:pPr>
              <w:keepNext w:val="0"/>
              <w:keepLines w:val="0"/>
              <w:pageBreakBefore w:val="0"/>
              <w:widowControl w:val="0"/>
              <w:kinsoku/>
              <w:wordWrap/>
              <w:overflowPunct/>
              <w:topLinePunct w:val="0"/>
              <w:autoSpaceDE/>
              <w:autoSpaceDN/>
              <w:bidi w:val="0"/>
              <w:adjustRightInd/>
              <w:snapToGrid/>
              <w:spacing w:line="400" w:lineRule="exact"/>
              <w:ind w:left="0" w:leftChars="0" w:right="0" w:firstLine="0" w:firstLineChars="0"/>
              <w:jc w:val="center"/>
              <w:textAlignment w:val="auto"/>
              <w:rPr>
                <w:sz w:val="2"/>
                <w:szCs w:val="2"/>
              </w:rPr>
            </w:pPr>
          </w:p>
        </w:tc>
        <w:tc>
          <w:tcPr>
            <w:tcW w:w="960" w:type="dxa"/>
            <w:noWrap w:val="0"/>
            <w:vAlign w:val="center"/>
          </w:tcPr>
          <w:p w14:paraId="28964EA4">
            <w:pPr>
              <w:pStyle w:val="227"/>
              <w:keepNext w:val="0"/>
              <w:keepLines w:val="0"/>
              <w:pageBreakBefore w:val="0"/>
              <w:widowControl w:val="0"/>
              <w:kinsoku/>
              <w:wordWrap/>
              <w:overflowPunct/>
              <w:topLinePunct w:val="0"/>
              <w:autoSpaceDE/>
              <w:autoSpaceDN/>
              <w:bidi w:val="0"/>
              <w:adjustRightInd/>
              <w:snapToGrid/>
              <w:spacing w:line="400" w:lineRule="exact"/>
              <w:ind w:left="120" w:leftChars="50" w:right="0" w:firstLine="0" w:firstLineChars="0"/>
              <w:jc w:val="both"/>
              <w:textAlignment w:val="auto"/>
              <w:rPr>
                <w:b/>
                <w:bCs/>
                <w:sz w:val="21"/>
              </w:rPr>
            </w:pPr>
            <w:r>
              <w:rPr>
                <w:rFonts w:hint="eastAsia"/>
                <w:b/>
                <w:bCs/>
                <w:sz w:val="21"/>
              </w:rPr>
              <w:t>消防维保</w:t>
            </w:r>
          </w:p>
        </w:tc>
        <w:tc>
          <w:tcPr>
            <w:tcW w:w="615" w:type="dxa"/>
            <w:noWrap w:val="0"/>
            <w:vAlign w:val="center"/>
          </w:tcPr>
          <w:p w14:paraId="528B99D9">
            <w:pPr>
              <w:pStyle w:val="227"/>
              <w:keepNext w:val="0"/>
              <w:keepLines w:val="0"/>
              <w:pageBreakBefore w:val="0"/>
              <w:widowControl w:val="0"/>
              <w:kinsoku/>
              <w:wordWrap/>
              <w:overflowPunct/>
              <w:topLinePunct w:val="0"/>
              <w:autoSpaceDE/>
              <w:autoSpaceDN/>
              <w:bidi w:val="0"/>
              <w:adjustRightInd/>
              <w:snapToGrid/>
              <w:spacing w:line="400" w:lineRule="exact"/>
              <w:ind w:left="120" w:leftChars="50" w:right="0" w:firstLine="0" w:firstLineChars="0"/>
              <w:textAlignment w:val="auto"/>
              <w:rPr>
                <w:b/>
                <w:bCs/>
                <w:sz w:val="21"/>
              </w:rPr>
            </w:pPr>
          </w:p>
        </w:tc>
        <w:tc>
          <w:tcPr>
            <w:tcW w:w="7062" w:type="dxa"/>
            <w:noWrap w:val="0"/>
            <w:vAlign w:val="center"/>
          </w:tcPr>
          <w:p w14:paraId="550553C8">
            <w:pPr>
              <w:pStyle w:val="227"/>
              <w:keepNext w:val="0"/>
              <w:keepLines w:val="0"/>
              <w:pageBreakBefore w:val="0"/>
              <w:widowControl w:val="0"/>
              <w:kinsoku/>
              <w:wordWrap/>
              <w:overflowPunct/>
              <w:topLinePunct w:val="0"/>
              <w:autoSpaceDE/>
              <w:autoSpaceDN/>
              <w:bidi w:val="0"/>
              <w:adjustRightInd/>
              <w:snapToGrid/>
              <w:spacing w:line="400" w:lineRule="exact"/>
              <w:ind w:left="120" w:leftChars="50" w:right="0" w:firstLine="0" w:firstLineChars="0"/>
              <w:textAlignment w:val="auto"/>
              <w:rPr>
                <w:rFonts w:hint="eastAsia"/>
                <w:b/>
                <w:bCs/>
                <w:sz w:val="21"/>
                <w:lang w:val="en-US" w:eastAsia="zh-CN"/>
              </w:rPr>
            </w:pPr>
            <w:r>
              <w:rPr>
                <w:b/>
                <w:bCs/>
                <w:sz w:val="21"/>
              </w:rPr>
              <w:t>允许分包</w:t>
            </w:r>
            <w:r>
              <w:rPr>
                <w:rFonts w:hint="eastAsia"/>
                <w:b/>
                <w:bCs/>
                <w:sz w:val="21"/>
              </w:rPr>
              <w:t>。签订合同前，提供所派消防维保单位的有效的营业执照；有效的消防设施维护保养资质证书；在泰兴地区具有固定的经营场所（提供房产证明或租赁协议）。</w:t>
            </w:r>
          </w:p>
        </w:tc>
      </w:tr>
      <w:tr w14:paraId="60EED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jc w:val="center"/>
        </w:trPr>
        <w:tc>
          <w:tcPr>
            <w:tcW w:w="508" w:type="dxa"/>
            <w:tcBorders>
              <w:top w:val="nil"/>
            </w:tcBorders>
            <w:noWrap w:val="0"/>
            <w:vAlign w:val="center"/>
          </w:tcPr>
          <w:p w14:paraId="116E8234">
            <w:pPr>
              <w:pStyle w:val="227"/>
              <w:keepNext w:val="0"/>
              <w:keepLines w:val="0"/>
              <w:pageBreakBefore w:val="0"/>
              <w:widowControl w:val="0"/>
              <w:kinsoku/>
              <w:wordWrap/>
              <w:overflowPunct/>
              <w:topLinePunct w:val="0"/>
              <w:autoSpaceDE/>
              <w:autoSpaceDN/>
              <w:bidi w:val="0"/>
              <w:adjustRightInd/>
              <w:snapToGrid/>
              <w:spacing w:line="400" w:lineRule="exact"/>
              <w:ind w:left="0" w:leftChars="0" w:right="0" w:firstLine="0" w:firstLineChars="0"/>
              <w:jc w:val="center"/>
              <w:textAlignment w:val="auto"/>
              <w:rPr>
                <w:rFonts w:hint="eastAsia" w:eastAsia="宋体"/>
                <w:sz w:val="2"/>
                <w:szCs w:val="2"/>
                <w:lang w:val="en-US" w:eastAsia="zh-CN"/>
              </w:rPr>
            </w:pPr>
            <w:r>
              <w:rPr>
                <w:rFonts w:hint="eastAsia"/>
                <w:lang w:val="en-US" w:eastAsia="zh-CN"/>
              </w:rPr>
              <w:t>7</w:t>
            </w:r>
          </w:p>
        </w:tc>
        <w:tc>
          <w:tcPr>
            <w:tcW w:w="840" w:type="dxa"/>
            <w:tcBorders>
              <w:top w:val="nil"/>
            </w:tcBorders>
            <w:noWrap w:val="0"/>
            <w:vAlign w:val="center"/>
          </w:tcPr>
          <w:p w14:paraId="0F130FF9">
            <w:pPr>
              <w:keepNext w:val="0"/>
              <w:keepLines w:val="0"/>
              <w:pageBreakBefore w:val="0"/>
              <w:widowControl w:val="0"/>
              <w:kinsoku/>
              <w:wordWrap/>
              <w:overflowPunct/>
              <w:topLinePunct w:val="0"/>
              <w:autoSpaceDE/>
              <w:autoSpaceDN/>
              <w:bidi w:val="0"/>
              <w:adjustRightInd/>
              <w:snapToGrid/>
              <w:spacing w:line="400" w:lineRule="exact"/>
              <w:ind w:left="0" w:leftChars="0" w:right="0" w:firstLine="0" w:firstLineChars="0"/>
              <w:jc w:val="center"/>
              <w:textAlignment w:val="auto"/>
              <w:rPr>
                <w:sz w:val="2"/>
                <w:szCs w:val="2"/>
              </w:rPr>
            </w:pPr>
          </w:p>
        </w:tc>
        <w:tc>
          <w:tcPr>
            <w:tcW w:w="960" w:type="dxa"/>
            <w:noWrap w:val="0"/>
            <w:vAlign w:val="center"/>
          </w:tcPr>
          <w:p w14:paraId="1F6E0E0F">
            <w:pPr>
              <w:pStyle w:val="227"/>
              <w:keepNext w:val="0"/>
              <w:keepLines w:val="0"/>
              <w:pageBreakBefore w:val="0"/>
              <w:widowControl w:val="0"/>
              <w:kinsoku/>
              <w:wordWrap/>
              <w:overflowPunct/>
              <w:topLinePunct w:val="0"/>
              <w:autoSpaceDE/>
              <w:autoSpaceDN/>
              <w:bidi w:val="0"/>
              <w:adjustRightInd/>
              <w:snapToGrid/>
              <w:spacing w:line="400" w:lineRule="exact"/>
              <w:ind w:left="120" w:leftChars="50" w:right="0" w:firstLine="0" w:firstLineChars="0"/>
              <w:jc w:val="both"/>
              <w:textAlignment w:val="auto"/>
              <w:rPr>
                <w:b/>
                <w:bCs/>
                <w:sz w:val="21"/>
              </w:rPr>
            </w:pPr>
            <w:r>
              <w:rPr>
                <w:rFonts w:hint="eastAsia"/>
                <w:b/>
                <w:bCs/>
                <w:sz w:val="21"/>
              </w:rPr>
              <w:t>电梯维保</w:t>
            </w:r>
          </w:p>
        </w:tc>
        <w:tc>
          <w:tcPr>
            <w:tcW w:w="615" w:type="dxa"/>
            <w:noWrap w:val="0"/>
            <w:vAlign w:val="center"/>
          </w:tcPr>
          <w:p w14:paraId="5F492D39">
            <w:pPr>
              <w:pStyle w:val="227"/>
              <w:keepNext w:val="0"/>
              <w:keepLines w:val="0"/>
              <w:pageBreakBefore w:val="0"/>
              <w:widowControl w:val="0"/>
              <w:kinsoku/>
              <w:wordWrap/>
              <w:overflowPunct/>
              <w:topLinePunct w:val="0"/>
              <w:autoSpaceDE/>
              <w:autoSpaceDN/>
              <w:bidi w:val="0"/>
              <w:adjustRightInd/>
              <w:snapToGrid/>
              <w:spacing w:line="400" w:lineRule="exact"/>
              <w:ind w:left="120" w:leftChars="50" w:right="0" w:firstLine="0" w:firstLineChars="0"/>
              <w:textAlignment w:val="auto"/>
              <w:rPr>
                <w:b/>
                <w:bCs/>
                <w:sz w:val="21"/>
              </w:rPr>
            </w:pPr>
          </w:p>
        </w:tc>
        <w:tc>
          <w:tcPr>
            <w:tcW w:w="7062" w:type="dxa"/>
            <w:noWrap w:val="0"/>
            <w:vAlign w:val="center"/>
          </w:tcPr>
          <w:p w14:paraId="5B10FDA7">
            <w:pPr>
              <w:pStyle w:val="227"/>
              <w:keepNext w:val="0"/>
              <w:keepLines w:val="0"/>
              <w:pageBreakBefore w:val="0"/>
              <w:widowControl w:val="0"/>
              <w:kinsoku/>
              <w:wordWrap/>
              <w:overflowPunct/>
              <w:topLinePunct w:val="0"/>
              <w:autoSpaceDE/>
              <w:autoSpaceDN/>
              <w:bidi w:val="0"/>
              <w:adjustRightInd/>
              <w:snapToGrid/>
              <w:spacing w:line="400" w:lineRule="exact"/>
              <w:ind w:left="120" w:leftChars="50" w:right="0" w:firstLine="0" w:firstLineChars="0"/>
              <w:textAlignment w:val="auto"/>
              <w:rPr>
                <w:rFonts w:hint="eastAsia"/>
                <w:b/>
                <w:bCs/>
                <w:sz w:val="21"/>
                <w:lang w:val="en-US" w:eastAsia="zh-CN"/>
              </w:rPr>
            </w:pPr>
            <w:r>
              <w:rPr>
                <w:b/>
                <w:bCs/>
                <w:sz w:val="21"/>
              </w:rPr>
              <w:t>允许分包。</w:t>
            </w:r>
            <w:r>
              <w:rPr>
                <w:rFonts w:hint="eastAsia"/>
                <w:b/>
                <w:bCs/>
                <w:sz w:val="21"/>
              </w:rPr>
              <w:t>签订合同前，提供所派电梯维保单位的</w:t>
            </w:r>
            <w:r>
              <w:rPr>
                <w:b/>
                <w:bCs/>
                <w:sz w:val="21"/>
              </w:rPr>
              <w:t>有效的营业执照；有效的电梯维保资质证书</w:t>
            </w:r>
            <w:r>
              <w:rPr>
                <w:rFonts w:hint="eastAsia"/>
                <w:b/>
                <w:bCs/>
                <w:sz w:val="21"/>
              </w:rPr>
              <w:t>；在泰兴地区具有固定的经营场所（提供房产证明或租赁协议）</w:t>
            </w:r>
          </w:p>
        </w:tc>
      </w:tr>
      <w:tr w14:paraId="0B44B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2308" w:type="dxa"/>
            <w:gridSpan w:val="3"/>
            <w:noWrap w:val="0"/>
            <w:vAlign w:val="center"/>
          </w:tcPr>
          <w:p w14:paraId="4F7289E6">
            <w:pPr>
              <w:pStyle w:val="227"/>
              <w:keepNext w:val="0"/>
              <w:keepLines w:val="0"/>
              <w:pageBreakBefore w:val="0"/>
              <w:wordWrap/>
              <w:overflowPunct/>
              <w:topLinePunct w:val="0"/>
              <w:bidi w:val="0"/>
              <w:spacing w:line="500" w:lineRule="exact"/>
              <w:ind w:right="0"/>
              <w:jc w:val="center"/>
              <w:rPr>
                <w:b/>
              </w:rPr>
            </w:pPr>
            <w:r>
              <w:rPr>
                <w:b/>
              </w:rPr>
              <w:t>合</w:t>
            </w:r>
            <w:r>
              <w:rPr>
                <w:rFonts w:hint="eastAsia"/>
                <w:b/>
                <w:lang w:val="en-US" w:eastAsia="zh-CN"/>
              </w:rPr>
              <w:t xml:space="preserve"> </w:t>
            </w:r>
            <w:r>
              <w:rPr>
                <w:b/>
              </w:rPr>
              <w:t>计</w:t>
            </w:r>
          </w:p>
        </w:tc>
        <w:tc>
          <w:tcPr>
            <w:tcW w:w="615" w:type="dxa"/>
            <w:noWrap w:val="0"/>
            <w:vAlign w:val="center"/>
          </w:tcPr>
          <w:p w14:paraId="4CF4B31A">
            <w:pPr>
              <w:pStyle w:val="227"/>
              <w:keepNext w:val="0"/>
              <w:keepLines w:val="0"/>
              <w:pageBreakBefore w:val="0"/>
              <w:wordWrap/>
              <w:overflowPunct/>
              <w:topLinePunct w:val="0"/>
              <w:bidi w:val="0"/>
              <w:spacing w:line="500" w:lineRule="exact"/>
              <w:ind w:right="0"/>
              <w:jc w:val="center"/>
              <w:rPr>
                <w:rFonts w:hint="eastAsia" w:eastAsia="宋体"/>
                <w:b/>
                <w:lang w:eastAsia="zh-CN"/>
              </w:rPr>
            </w:pPr>
            <w:r>
              <w:rPr>
                <w:b/>
              </w:rPr>
              <w:t>2</w:t>
            </w:r>
            <w:r>
              <w:rPr>
                <w:rFonts w:hint="eastAsia"/>
                <w:b/>
                <w:lang w:val="en-US" w:eastAsia="zh-CN"/>
              </w:rPr>
              <w:t>9</w:t>
            </w:r>
          </w:p>
        </w:tc>
        <w:tc>
          <w:tcPr>
            <w:tcW w:w="7062" w:type="dxa"/>
            <w:noWrap w:val="0"/>
            <w:vAlign w:val="top"/>
          </w:tcPr>
          <w:p w14:paraId="01020234">
            <w:pPr>
              <w:pStyle w:val="227"/>
              <w:keepNext w:val="0"/>
              <w:keepLines w:val="0"/>
              <w:pageBreakBefore w:val="0"/>
              <w:wordWrap/>
              <w:overflowPunct/>
              <w:topLinePunct w:val="0"/>
              <w:bidi w:val="0"/>
              <w:spacing w:line="500" w:lineRule="exact"/>
              <w:ind w:left="0" w:leftChars="0" w:right="0" w:firstLine="400" w:firstLineChars="200"/>
              <w:rPr>
                <w:rFonts w:ascii="Times New Roman"/>
                <w:sz w:val="20"/>
              </w:rPr>
            </w:pPr>
          </w:p>
        </w:tc>
      </w:tr>
    </w:tbl>
    <w:p w14:paraId="181DEDF2">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3、供应商需在</w:t>
      </w:r>
      <w:r>
        <w:rPr>
          <w:rFonts w:hint="eastAsia" w:ascii="仿宋_GB2312" w:hAnsi="仿宋_GB2312" w:eastAsia="仿宋_GB2312" w:cs="仿宋_GB2312"/>
          <w:sz w:val="28"/>
          <w:szCs w:val="28"/>
          <w:lang w:val="en-US" w:eastAsia="zh-CN"/>
        </w:rPr>
        <w:t>响应</w:t>
      </w:r>
      <w:r>
        <w:rPr>
          <w:rFonts w:hint="eastAsia" w:ascii="仿宋_GB2312" w:hAnsi="仿宋_GB2312" w:eastAsia="仿宋_GB2312" w:cs="仿宋_GB2312"/>
          <w:sz w:val="28"/>
          <w:szCs w:val="28"/>
        </w:rPr>
        <w:t>文件中承诺，</w:t>
      </w:r>
      <w:r>
        <w:rPr>
          <w:rFonts w:hint="eastAsia" w:ascii="仿宋_GB2312" w:hAnsi="仿宋_GB2312" w:eastAsia="仿宋_GB2312" w:cs="仿宋_GB2312"/>
          <w:sz w:val="28"/>
          <w:szCs w:val="28"/>
          <w:lang w:val="en-US" w:eastAsia="zh-CN"/>
        </w:rPr>
        <w:t>成交</w:t>
      </w:r>
      <w:r>
        <w:rPr>
          <w:rFonts w:hint="eastAsia" w:ascii="仿宋_GB2312" w:hAnsi="仿宋_GB2312" w:eastAsia="仿宋_GB2312" w:cs="仿宋_GB2312"/>
          <w:sz w:val="28"/>
          <w:szCs w:val="28"/>
        </w:rPr>
        <w:t>后签订合同前向采购人提供上述人员身份证及相关证件的原件核查，并送交复印件存档。</w:t>
      </w:r>
    </w:p>
    <w:p w14:paraId="4F3E17A8">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4、人员工资等费用须符合《中华人民共和国劳动合同法》以及泰州市泰兴市最低工资标准、全员缴纳社会保险等要求。</w:t>
      </w:r>
      <w:r>
        <w:rPr>
          <w:rFonts w:hint="eastAsia" w:ascii="仿宋_GB2312" w:hAnsi="仿宋_GB2312" w:eastAsia="仿宋_GB2312" w:cs="仿宋_GB2312"/>
          <w:sz w:val="28"/>
          <w:szCs w:val="28"/>
          <w:lang w:val="en-US" w:eastAsia="zh-CN"/>
        </w:rPr>
        <w:t>供应商</w:t>
      </w:r>
      <w:r>
        <w:rPr>
          <w:rFonts w:hint="eastAsia" w:ascii="仿宋_GB2312" w:hAnsi="仿宋_GB2312" w:eastAsia="仿宋_GB2312" w:cs="仿宋_GB2312"/>
          <w:sz w:val="28"/>
          <w:szCs w:val="28"/>
        </w:rPr>
        <w:t>需在</w:t>
      </w:r>
      <w:r>
        <w:rPr>
          <w:rFonts w:hint="eastAsia" w:ascii="仿宋_GB2312" w:hAnsi="仿宋_GB2312" w:eastAsia="仿宋_GB2312" w:cs="仿宋_GB2312"/>
          <w:sz w:val="28"/>
          <w:szCs w:val="28"/>
          <w:lang w:val="en-US" w:eastAsia="zh-CN"/>
        </w:rPr>
        <w:t>响应</w:t>
      </w:r>
      <w:r>
        <w:rPr>
          <w:rFonts w:hint="eastAsia" w:ascii="仿宋_GB2312" w:hAnsi="仿宋_GB2312" w:eastAsia="仿宋_GB2312" w:cs="仿宋_GB2312"/>
          <w:sz w:val="28"/>
          <w:szCs w:val="28"/>
        </w:rPr>
        <w:t>文件中提供承诺函。</w:t>
      </w:r>
    </w:p>
    <w:p w14:paraId="1C1E7175">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5、法定节假休息日在岗人数不得低于总人数的50%，加班费用符合国家相关规定。投标人需在</w:t>
      </w:r>
      <w:r>
        <w:rPr>
          <w:rFonts w:hint="eastAsia" w:ascii="仿宋_GB2312" w:hAnsi="仿宋_GB2312" w:eastAsia="仿宋_GB2312" w:cs="仿宋_GB2312"/>
          <w:sz w:val="28"/>
          <w:szCs w:val="28"/>
          <w:lang w:val="en-US" w:eastAsia="zh-CN"/>
        </w:rPr>
        <w:t>响应</w:t>
      </w:r>
      <w:r>
        <w:rPr>
          <w:rFonts w:hint="eastAsia" w:ascii="仿宋_GB2312" w:hAnsi="仿宋_GB2312" w:eastAsia="仿宋_GB2312" w:cs="仿宋_GB2312"/>
          <w:sz w:val="28"/>
          <w:szCs w:val="28"/>
        </w:rPr>
        <w:t>文件中提供承诺函。</w:t>
      </w:r>
    </w:p>
    <w:p w14:paraId="56F35EC8">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六、验收标准</w:t>
      </w:r>
    </w:p>
    <w:p w14:paraId="51881139">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业主有权利在物业服务期限内依据合同中规定的物业管理服务内容及标准要求进行检查，对物业公司的服务质量、业主满意度等进行定期或随机的检查考核；定期考核每季度至少一次，随机考核每半年至少一次。每一年汇总每次考核成绩为年度考核成绩。季度考核成绩不合格采购人有权终止与该物业公司的合同，且不承担物业公司由此造成的损失，年度考核不合格采购人有权按4000元/年扣除服务费。</w:t>
      </w:r>
    </w:p>
    <w:p w14:paraId="6C098721">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2、考核方式可由业主自行组织或委托第三方进行，采取定期检查、随机抽查等但不仅限以上方式进行考核。</w:t>
      </w:r>
    </w:p>
    <w:p w14:paraId="4491EB82">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3、年度考核合格后可续签下一年合同，连续承包服务期不得超过三年（含三年）。</w:t>
      </w:r>
    </w:p>
    <w:p w14:paraId="11B19551">
      <w:pPr>
        <w:widowControl/>
        <w:jc w:val="left"/>
        <w:rPr>
          <w:rFonts w:eastAsia="方正小标宋_GBK"/>
          <w:color w:val="0D0D0D"/>
          <w:sz w:val="44"/>
          <w:szCs w:val="44"/>
        </w:rPr>
      </w:pPr>
      <w:r>
        <w:rPr>
          <w:rFonts w:eastAsia="方正小标宋_GBK"/>
          <w:color w:val="0D0D0D"/>
          <w:sz w:val="44"/>
          <w:szCs w:val="44"/>
        </w:rPr>
        <w:br w:type="page"/>
      </w:r>
    </w:p>
    <w:p w14:paraId="7AD3CAEF">
      <w:pPr>
        <w:jc w:val="center"/>
        <w:rPr>
          <w:rFonts w:eastAsia="方正小标宋_GBK"/>
          <w:color w:val="0D0D0D"/>
          <w:sz w:val="44"/>
          <w:szCs w:val="44"/>
        </w:rPr>
      </w:pPr>
      <w:r>
        <w:rPr>
          <w:rFonts w:hint="eastAsia" w:eastAsia="方正小标宋_GBK"/>
          <w:color w:val="0D0D0D"/>
          <w:sz w:val="44"/>
          <w:szCs w:val="44"/>
        </w:rPr>
        <w:t>第六章  响应文件的编制要求及参考格式</w:t>
      </w:r>
    </w:p>
    <w:p w14:paraId="34AD7C04">
      <w:pPr>
        <w:adjustRightInd w:val="0"/>
        <w:snapToGrid w:val="0"/>
        <w:spacing w:line="560" w:lineRule="exact"/>
        <w:rPr>
          <w:rFonts w:ascii="黑体" w:hAnsi="黑体" w:eastAsia="黑体" w:cs="黑体"/>
          <w:bCs/>
          <w:sz w:val="28"/>
          <w:szCs w:val="28"/>
        </w:rPr>
      </w:pPr>
      <w:r>
        <w:rPr>
          <w:rFonts w:hint="eastAsia" w:ascii="黑体" w:hAnsi="黑体" w:eastAsia="黑体" w:cs="黑体"/>
          <w:bCs/>
          <w:sz w:val="28"/>
          <w:szCs w:val="28"/>
        </w:rPr>
        <w:t>1.响应文件的组成</w:t>
      </w:r>
    </w:p>
    <w:p w14:paraId="7A2100D1">
      <w:pPr>
        <w:adjustRightInd w:val="0"/>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见第二章</w:t>
      </w:r>
      <w:r>
        <w:rPr>
          <w:rFonts w:eastAsia="仿宋_GB2312"/>
          <w:sz w:val="28"/>
          <w:szCs w:val="28"/>
        </w:rPr>
        <w:t>3.1</w:t>
      </w:r>
      <w:r>
        <w:rPr>
          <w:rFonts w:hint="eastAsia" w:ascii="仿宋_GB2312" w:hAnsi="仿宋_GB2312" w:eastAsia="仿宋_GB2312" w:cs="仿宋_GB2312"/>
          <w:sz w:val="28"/>
          <w:szCs w:val="28"/>
        </w:rPr>
        <w:t>条。</w:t>
      </w:r>
    </w:p>
    <w:p w14:paraId="311E73BF">
      <w:pPr>
        <w:adjustRightInd w:val="0"/>
        <w:snapToGrid w:val="0"/>
        <w:spacing w:line="560" w:lineRule="exact"/>
        <w:rPr>
          <w:rFonts w:ascii="黑体" w:hAnsi="黑体" w:eastAsia="黑体" w:cs="黑体"/>
          <w:bCs/>
          <w:sz w:val="28"/>
          <w:szCs w:val="28"/>
        </w:rPr>
      </w:pPr>
      <w:r>
        <w:rPr>
          <w:rFonts w:hint="eastAsia" w:ascii="黑体" w:hAnsi="黑体" w:eastAsia="黑体" w:cs="黑体"/>
          <w:bCs/>
          <w:sz w:val="28"/>
          <w:szCs w:val="28"/>
        </w:rPr>
        <w:t>2.响应文件的编制内容及编制要求</w:t>
      </w:r>
    </w:p>
    <w:p w14:paraId="11775A42">
      <w:pPr>
        <w:adjustRightInd w:val="0"/>
        <w:snapToGrid w:val="0"/>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2.1报价一览表</w:t>
      </w:r>
    </w:p>
    <w:p w14:paraId="54BDFA5D">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2.1.1</w:t>
      </w:r>
      <w:r>
        <w:rPr>
          <w:rFonts w:hint="eastAsia" w:ascii="仿宋_GB2312" w:hAnsi="仿宋_GB2312" w:eastAsia="仿宋_GB2312" w:cs="仿宋_GB2312"/>
          <w:sz w:val="28"/>
          <w:szCs w:val="28"/>
        </w:rPr>
        <w:t>供应商应按表中格式完整、清晰、正确填写；</w:t>
      </w:r>
    </w:p>
    <w:p w14:paraId="3B739756">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2.1.2</w:t>
      </w:r>
      <w:r>
        <w:rPr>
          <w:rFonts w:hint="eastAsia" w:ascii="仿宋_GB2312" w:hAnsi="仿宋_GB2312" w:eastAsia="仿宋_GB2312" w:cs="仿宋_GB2312"/>
          <w:sz w:val="28"/>
          <w:szCs w:val="28"/>
        </w:rPr>
        <w:t>报价一览表中的价格应与响应文件中的价格一致；</w:t>
      </w:r>
    </w:p>
    <w:p w14:paraId="71BDD2F0">
      <w:pPr>
        <w:adjustRightInd w:val="0"/>
        <w:snapToGrid w:val="0"/>
        <w:spacing w:line="560" w:lineRule="exact"/>
        <w:ind w:firstLine="560" w:firstLineChars="200"/>
        <w:rPr>
          <w:rFonts w:ascii="方正仿宋_GB2312" w:hAnsi="方正仿宋_GB2312" w:eastAsia="方正仿宋_GB2312" w:cs="方正仿宋_GB2312"/>
          <w:sz w:val="28"/>
          <w:szCs w:val="28"/>
        </w:rPr>
      </w:pPr>
      <w:r>
        <w:rPr>
          <w:rFonts w:eastAsia="仿宋_GB2312"/>
          <w:sz w:val="28"/>
          <w:szCs w:val="28"/>
        </w:rPr>
        <w:t>2.1.3</w:t>
      </w:r>
      <w:r>
        <w:rPr>
          <w:rFonts w:hint="eastAsia" w:ascii="仿宋_GB2312" w:hAnsi="仿宋_GB2312" w:eastAsia="仿宋_GB2312" w:cs="仿宋_GB2312"/>
          <w:sz w:val="28"/>
          <w:szCs w:val="28"/>
        </w:rPr>
        <w:t>报价一览表格式见附件。</w:t>
      </w:r>
    </w:p>
    <w:p w14:paraId="4DCE1110">
      <w:pPr>
        <w:adjustRightInd w:val="0"/>
        <w:snapToGrid w:val="0"/>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2.2响应函</w:t>
      </w:r>
    </w:p>
    <w:p w14:paraId="603261FA">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2.2.1</w:t>
      </w:r>
      <w:r>
        <w:rPr>
          <w:rFonts w:hint="eastAsia" w:ascii="仿宋_GB2312" w:hAnsi="仿宋_GB2312" w:eastAsia="仿宋_GB2312" w:cs="仿宋_GB2312"/>
          <w:sz w:val="28"/>
          <w:szCs w:val="28"/>
        </w:rPr>
        <w:t>供应商应按表中格式完整、清晰、正确填写；</w:t>
      </w:r>
    </w:p>
    <w:p w14:paraId="47B8E713">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2.2.2</w:t>
      </w:r>
      <w:r>
        <w:rPr>
          <w:rFonts w:hint="eastAsia" w:ascii="仿宋_GB2312" w:hAnsi="仿宋_GB2312" w:eastAsia="仿宋_GB2312" w:cs="仿宋_GB2312"/>
          <w:sz w:val="28"/>
          <w:szCs w:val="28"/>
        </w:rPr>
        <w:t>响应函必须加盖供应商法人公章并经法定代表人签字或签章。</w:t>
      </w:r>
    </w:p>
    <w:p w14:paraId="403B5591">
      <w:pPr>
        <w:adjustRightInd w:val="0"/>
        <w:snapToGrid w:val="0"/>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2.3资格条件证明文件</w:t>
      </w:r>
    </w:p>
    <w:p w14:paraId="27608FFE">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2.</w:t>
      </w:r>
      <w:r>
        <w:rPr>
          <w:rFonts w:hint="eastAsia" w:eastAsia="仿宋_GB2312"/>
          <w:sz w:val="28"/>
          <w:szCs w:val="28"/>
        </w:rPr>
        <w:t>3</w:t>
      </w:r>
      <w:r>
        <w:rPr>
          <w:rFonts w:eastAsia="仿宋_GB2312"/>
          <w:sz w:val="28"/>
          <w:szCs w:val="28"/>
        </w:rPr>
        <w:t>.1</w:t>
      </w:r>
      <w:r>
        <w:rPr>
          <w:rFonts w:hint="eastAsia" w:ascii="仿宋_GB2312" w:hAnsi="仿宋_GB2312" w:eastAsia="仿宋_GB2312" w:cs="仿宋_GB2312"/>
          <w:sz w:val="28"/>
          <w:szCs w:val="28"/>
        </w:rPr>
        <w:t>供应商基本资格条件承诺书；</w:t>
      </w:r>
    </w:p>
    <w:p w14:paraId="5FD32EE2">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2.</w:t>
      </w:r>
      <w:r>
        <w:rPr>
          <w:rFonts w:hint="eastAsia" w:eastAsia="仿宋_GB2312"/>
          <w:sz w:val="28"/>
          <w:szCs w:val="28"/>
        </w:rPr>
        <w:t>3</w:t>
      </w:r>
      <w:r>
        <w:rPr>
          <w:rFonts w:eastAsia="仿宋_GB2312"/>
          <w:sz w:val="28"/>
          <w:szCs w:val="28"/>
        </w:rPr>
        <w:t>.</w:t>
      </w:r>
      <w:r>
        <w:rPr>
          <w:rFonts w:hint="eastAsia" w:eastAsia="仿宋_GB2312"/>
          <w:sz w:val="28"/>
          <w:szCs w:val="28"/>
        </w:rPr>
        <w:t>2</w:t>
      </w:r>
      <w:r>
        <w:rPr>
          <w:rFonts w:hint="eastAsia" w:ascii="仿宋_GB2312" w:hAnsi="仿宋_GB2312" w:eastAsia="仿宋_GB2312" w:cs="仿宋_GB2312"/>
          <w:sz w:val="28"/>
          <w:szCs w:val="28"/>
        </w:rPr>
        <w:t>征集文件要求的其他资格条件证明材料。</w:t>
      </w:r>
    </w:p>
    <w:p w14:paraId="744C3695">
      <w:pPr>
        <w:adjustRightInd w:val="0"/>
        <w:snapToGrid w:val="0"/>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2.4采购需求响应表</w:t>
      </w:r>
    </w:p>
    <w:p w14:paraId="0F9C8F39">
      <w:pPr>
        <w:adjustRightInd w:val="0"/>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供应商应仔细阅读采购需求，结合自身的实际情况，如实编制，格式自拟。采购需求响应表须详细说明实际提供的货物、服务及其他采购需求中相关要求的响应情况。供应商应对照评审要求提供相应的佐证材料。</w:t>
      </w:r>
    </w:p>
    <w:p w14:paraId="1BBCDCB4">
      <w:pPr>
        <w:adjustRightInd w:val="0"/>
        <w:snapToGrid w:val="0"/>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2.5供应商认为应列入响应文件的其他材料</w:t>
      </w:r>
    </w:p>
    <w:p w14:paraId="5A917E6C">
      <w:pPr>
        <w:adjustRightInd w:val="0"/>
        <w:snapToGrid w:val="0"/>
        <w:spacing w:line="560" w:lineRule="exact"/>
        <w:ind w:firstLine="560" w:firstLineChars="200"/>
        <w:rPr>
          <w:rFonts w:ascii="方正仿宋_GB2312" w:hAnsi="方正仿宋_GB2312" w:eastAsia="方正仿宋_GB2312" w:cs="方正仿宋_GB2312"/>
          <w:sz w:val="28"/>
          <w:szCs w:val="28"/>
        </w:rPr>
      </w:pPr>
      <w:r>
        <w:rPr>
          <w:rFonts w:hint="eastAsia" w:ascii="仿宋_GB2312" w:hAnsi="仿宋_GB2312" w:eastAsia="仿宋_GB2312" w:cs="仿宋_GB2312"/>
          <w:sz w:val="28"/>
          <w:szCs w:val="28"/>
        </w:rPr>
        <w:t>供应商应对照第三章的评审因素，结合自身的实际情况，如实编制，格式自拟。</w:t>
      </w:r>
    </w:p>
    <w:p w14:paraId="4731E144">
      <w:pPr>
        <w:adjustRightInd w:val="0"/>
        <w:snapToGrid w:val="0"/>
        <w:spacing w:line="560" w:lineRule="exact"/>
        <w:rPr>
          <w:rFonts w:ascii="黑体" w:hAnsi="黑体" w:eastAsia="黑体" w:cs="黑体"/>
          <w:bCs/>
          <w:sz w:val="28"/>
          <w:szCs w:val="28"/>
        </w:rPr>
      </w:pPr>
      <w:r>
        <w:rPr>
          <w:rFonts w:hint="eastAsia" w:ascii="黑体" w:hAnsi="黑体" w:eastAsia="黑体" w:cs="黑体"/>
          <w:bCs/>
          <w:sz w:val="28"/>
          <w:szCs w:val="28"/>
        </w:rPr>
        <w:t>3.响应文件参考格式</w:t>
      </w:r>
    </w:p>
    <w:p w14:paraId="4E0B28D1">
      <w:pPr>
        <w:rPr>
          <w:rFonts w:ascii="楷体_GB2312" w:hAnsi="楷体_GB2312" w:eastAsia="楷体_GB2312" w:cs="楷体_GB2312"/>
          <w:b/>
          <w:sz w:val="28"/>
          <w:szCs w:val="28"/>
        </w:rPr>
      </w:pPr>
      <w:bookmarkStart w:id="177" w:name="_Toc49090579"/>
      <w:bookmarkStart w:id="178" w:name="_Toc382812317"/>
      <w:bookmarkStart w:id="179" w:name="_Toc26554097"/>
      <w:bookmarkStart w:id="180" w:name="_Toc288030361"/>
      <w:bookmarkStart w:id="181" w:name="_Toc382812508"/>
      <w:bookmarkStart w:id="182" w:name="_Toc282446333"/>
      <w:bookmarkStart w:id="183" w:name="_Toc382811203"/>
      <w:bookmarkStart w:id="184" w:name="_Toc23828480"/>
      <w:bookmarkStart w:id="185" w:name="_Toc382811608"/>
      <w:bookmarkStart w:id="186" w:name="_Toc120614286"/>
      <w:r>
        <w:rPr>
          <w:rFonts w:hint="eastAsia" w:ascii="楷体_GB2312" w:hAnsi="楷体_GB2312" w:eastAsia="楷体_GB2312" w:cs="楷体_GB2312"/>
          <w:b/>
          <w:sz w:val="28"/>
          <w:szCs w:val="28"/>
        </w:rPr>
        <w:br w:type="page"/>
      </w:r>
    </w:p>
    <w:p w14:paraId="1C7D07FC">
      <w:pPr>
        <w:widowControl/>
        <w:jc w:val="left"/>
        <w:rPr>
          <w:rFonts w:ascii="方正仿宋_GB2312" w:hAnsi="方正仿宋_GB2312" w:eastAsia="方正仿宋_GB2312" w:cs="方正仿宋_GB2312"/>
          <w:b/>
          <w:sz w:val="28"/>
          <w:szCs w:val="28"/>
        </w:rPr>
      </w:pPr>
      <w:r>
        <w:rPr>
          <w:rFonts w:hint="eastAsia" w:ascii="楷体_GB2312" w:hAnsi="楷体_GB2312" w:eastAsia="楷体_GB2312" w:cs="楷体_GB2312"/>
          <w:b/>
          <w:sz w:val="28"/>
          <w:szCs w:val="28"/>
        </w:rPr>
        <w:t>3.1响应文件封面格式</w:t>
      </w:r>
    </w:p>
    <w:p w14:paraId="04687D4A">
      <w:pPr>
        <w:spacing w:line="360" w:lineRule="exact"/>
        <w:ind w:firstLine="480" w:firstLineChars="200"/>
        <w:jc w:val="center"/>
        <w:rPr>
          <w:rFonts w:ascii="方正仿宋_GB2312" w:hAnsi="方正仿宋_GB2312" w:eastAsia="方正仿宋_GB2312" w:cs="方正仿宋_GB2312"/>
        </w:rPr>
      </w:pPr>
    </w:p>
    <w:p w14:paraId="5119FB38">
      <w:pPr>
        <w:spacing w:line="360" w:lineRule="exact"/>
        <w:ind w:firstLine="480" w:firstLineChars="200"/>
        <w:jc w:val="center"/>
        <w:rPr>
          <w:rFonts w:ascii="方正仿宋_GB2312" w:hAnsi="方正仿宋_GB2312" w:eastAsia="方正仿宋_GB2312" w:cs="方正仿宋_GB2312"/>
        </w:rPr>
      </w:pPr>
    </w:p>
    <w:p w14:paraId="3C7235B4">
      <w:pPr>
        <w:jc w:val="center"/>
        <w:rPr>
          <w:rFonts w:ascii="仿宋_GB2312" w:hAnsi="仿宋_GB2312" w:eastAsia="仿宋_GB2312" w:cs="仿宋_GB2312"/>
          <w:b/>
          <w:sz w:val="44"/>
          <w:szCs w:val="44"/>
        </w:rPr>
      </w:pPr>
      <w:r>
        <w:rPr>
          <w:rFonts w:hint="eastAsia" w:ascii="仿宋_GB2312" w:hAnsi="仿宋_GB2312" w:eastAsia="仿宋_GB2312" w:cs="仿宋_GB2312"/>
          <w:b/>
          <w:sz w:val="44"/>
          <w:szCs w:val="44"/>
        </w:rPr>
        <w:t>响应文件</w:t>
      </w:r>
    </w:p>
    <w:p w14:paraId="319E58BE">
      <w:pPr>
        <w:jc w:val="center"/>
        <w:rPr>
          <w:rFonts w:ascii="仿宋_GB2312" w:hAnsi="仿宋_GB2312" w:eastAsia="仿宋_GB2312" w:cs="仿宋_GB2312"/>
          <w:sz w:val="28"/>
          <w:szCs w:val="28"/>
        </w:rPr>
      </w:pPr>
    </w:p>
    <w:p w14:paraId="5FA8E152">
      <w:pPr>
        <w:spacing w:line="440" w:lineRule="exact"/>
        <w:ind w:firstLine="2520" w:firstLineChars="9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14:paraId="6138657D">
      <w:pPr>
        <w:spacing w:line="440" w:lineRule="exact"/>
        <w:ind w:firstLine="2520" w:firstLineChars="900"/>
        <w:jc w:val="left"/>
        <w:rPr>
          <w:rFonts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14:paraId="7D11892B">
      <w:pPr>
        <w:spacing w:line="440" w:lineRule="exact"/>
        <w:ind w:firstLine="2520" w:firstLineChars="900"/>
        <w:rPr>
          <w:rFonts w:ascii="仿宋_GB2312" w:hAnsi="仿宋_GB2312" w:eastAsia="仿宋_GB2312" w:cs="仿宋_GB2312"/>
          <w:sz w:val="28"/>
          <w:szCs w:val="28"/>
        </w:rPr>
      </w:pPr>
    </w:p>
    <w:p w14:paraId="3A0BCEE4">
      <w:pPr>
        <w:spacing w:line="440" w:lineRule="exact"/>
        <w:ind w:firstLine="2520" w:firstLineChars="900"/>
        <w:rPr>
          <w:rFonts w:ascii="仿宋_GB2312" w:hAnsi="仿宋_GB2312" w:eastAsia="仿宋_GB2312" w:cs="仿宋_GB2312"/>
          <w:sz w:val="28"/>
          <w:szCs w:val="28"/>
        </w:rPr>
      </w:pPr>
    </w:p>
    <w:p w14:paraId="105A8F48">
      <w:pPr>
        <w:spacing w:line="440" w:lineRule="exact"/>
        <w:ind w:firstLine="2520" w:firstLineChars="900"/>
        <w:rPr>
          <w:rFonts w:ascii="仿宋_GB2312" w:hAnsi="仿宋_GB2312" w:eastAsia="仿宋_GB2312" w:cs="仿宋_GB2312"/>
          <w:sz w:val="28"/>
          <w:szCs w:val="28"/>
        </w:rPr>
      </w:pPr>
    </w:p>
    <w:p w14:paraId="6B2286D2">
      <w:pPr>
        <w:spacing w:line="440" w:lineRule="exact"/>
        <w:ind w:firstLine="2520" w:firstLineChars="900"/>
        <w:rPr>
          <w:rFonts w:ascii="仿宋_GB2312" w:hAnsi="仿宋_GB2312" w:eastAsia="仿宋_GB2312" w:cs="仿宋_GB2312"/>
          <w:sz w:val="28"/>
          <w:szCs w:val="28"/>
        </w:rPr>
      </w:pPr>
    </w:p>
    <w:p w14:paraId="1E212480">
      <w:pPr>
        <w:spacing w:line="440" w:lineRule="exact"/>
        <w:ind w:firstLine="2520" w:firstLineChars="900"/>
        <w:rPr>
          <w:rFonts w:ascii="仿宋_GB2312" w:hAnsi="仿宋_GB2312" w:eastAsia="仿宋_GB2312" w:cs="仿宋_GB2312"/>
          <w:sz w:val="28"/>
          <w:szCs w:val="28"/>
        </w:rPr>
      </w:pPr>
    </w:p>
    <w:p w14:paraId="27FBD70E">
      <w:pPr>
        <w:tabs>
          <w:tab w:val="left" w:pos="2700"/>
        </w:tabs>
        <w:spacing w:line="400" w:lineRule="exact"/>
        <w:ind w:firstLine="560" w:firstLineChars="20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供应商名称：</w:t>
      </w:r>
      <w:r>
        <w:rPr>
          <w:rFonts w:hint="eastAsia" w:ascii="仿宋_GB2312" w:hAnsi="仿宋_GB2312" w:eastAsia="仿宋_GB2312" w:cs="仿宋_GB2312"/>
          <w:sz w:val="28"/>
          <w:szCs w:val="28"/>
          <w:u w:val="single"/>
        </w:rPr>
        <w:t xml:space="preserve">  （盖法人章）     </w:t>
      </w:r>
    </w:p>
    <w:p w14:paraId="1467B2EB">
      <w:pPr>
        <w:tabs>
          <w:tab w:val="left" w:pos="2700"/>
        </w:tabs>
        <w:spacing w:line="400" w:lineRule="exact"/>
        <w:ind w:firstLine="560" w:firstLineChars="20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联系人：</w:t>
      </w:r>
    </w:p>
    <w:p w14:paraId="4AD4C1DA">
      <w:pPr>
        <w:tabs>
          <w:tab w:val="left" w:pos="2700"/>
        </w:tabs>
        <w:spacing w:line="4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联系电话：</w:t>
      </w:r>
    </w:p>
    <w:p w14:paraId="1D4B6916">
      <w:pPr>
        <w:tabs>
          <w:tab w:val="left" w:pos="2700"/>
        </w:tabs>
        <w:spacing w:line="4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邮箱：</w:t>
      </w:r>
    </w:p>
    <w:p w14:paraId="007D8582">
      <w:pPr>
        <w:tabs>
          <w:tab w:val="left" w:pos="2700"/>
        </w:tabs>
        <w:spacing w:line="40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日期：  年月日</w:t>
      </w:r>
    </w:p>
    <w:p w14:paraId="0CEE42EB">
      <w:pPr>
        <w:pStyle w:val="14"/>
        <w:rPr>
          <w:rFonts w:ascii="方正仿宋_GB2312" w:hAnsi="方正仿宋_GB2312" w:eastAsia="方正仿宋_GB2312" w:cs="方正仿宋_GB2312"/>
        </w:rPr>
      </w:pPr>
    </w:p>
    <w:p w14:paraId="0DFEB90D">
      <w:pPr>
        <w:widowControl/>
        <w:jc w:val="left"/>
        <w:rPr>
          <w:rFonts w:ascii="方正仿宋_GB2312" w:hAnsi="方正仿宋_GB2312" w:eastAsia="方正仿宋_GB2312" w:cs="方正仿宋_GB2312"/>
          <w:kern w:val="2"/>
          <w:sz w:val="28"/>
          <w:szCs w:val="28"/>
        </w:rPr>
      </w:pPr>
    </w:p>
    <w:p w14:paraId="521992BB">
      <w:pPr>
        <w:widowControl/>
        <w:jc w:val="left"/>
        <w:rPr>
          <w:rFonts w:ascii="方正仿宋_GB2312" w:hAnsi="方正仿宋_GB2312" w:eastAsia="方正仿宋_GB2312" w:cs="方正仿宋_GB2312"/>
          <w:kern w:val="2"/>
          <w:sz w:val="28"/>
          <w:szCs w:val="28"/>
        </w:rPr>
      </w:pPr>
    </w:p>
    <w:p w14:paraId="3008BE75">
      <w:pPr>
        <w:pStyle w:val="14"/>
      </w:pPr>
    </w:p>
    <w:p w14:paraId="794F73D0">
      <w:pPr>
        <w:pStyle w:val="14"/>
      </w:pPr>
    </w:p>
    <w:p w14:paraId="17B20302">
      <w:pPr>
        <w:pStyle w:val="14"/>
      </w:pPr>
    </w:p>
    <w:p w14:paraId="638A4114">
      <w:pPr>
        <w:pStyle w:val="14"/>
      </w:pPr>
    </w:p>
    <w:p w14:paraId="6D99AEF0">
      <w:pPr>
        <w:pStyle w:val="14"/>
      </w:pPr>
    </w:p>
    <w:p w14:paraId="50850AC1">
      <w:pPr>
        <w:pStyle w:val="14"/>
      </w:pPr>
    </w:p>
    <w:p w14:paraId="07DD38EA">
      <w:pPr>
        <w:pStyle w:val="14"/>
      </w:pPr>
    </w:p>
    <w:p w14:paraId="558B153D">
      <w:pPr>
        <w:widowControl/>
        <w:jc w:val="left"/>
        <w:rPr>
          <w:rFonts w:ascii="楷体_GB2312" w:hAnsi="楷体_GB2312" w:eastAsia="楷体_GB2312" w:cs="楷体_GB2312"/>
          <w:b/>
          <w:kern w:val="2"/>
          <w:sz w:val="28"/>
          <w:szCs w:val="28"/>
        </w:rPr>
      </w:pPr>
      <w:r>
        <w:rPr>
          <w:rFonts w:hint="eastAsia" w:ascii="楷体_GB2312" w:hAnsi="楷体_GB2312" w:eastAsia="楷体_GB2312" w:cs="楷体_GB2312"/>
          <w:b/>
          <w:kern w:val="2"/>
          <w:sz w:val="28"/>
          <w:szCs w:val="28"/>
        </w:rPr>
        <w:t>3.2报价一览表</w:t>
      </w:r>
    </w:p>
    <w:p w14:paraId="0B0E53AC">
      <w:pPr>
        <w:jc w:val="center"/>
        <w:rPr>
          <w:rFonts w:ascii="方正仿宋_GB2312" w:hAnsi="方正仿宋_GB2312" w:eastAsia="方正仿宋_GB2312" w:cs="方正仿宋_GB2312"/>
          <w:b/>
          <w:sz w:val="32"/>
          <w:szCs w:val="32"/>
        </w:rPr>
      </w:pPr>
    </w:p>
    <w:p w14:paraId="45D3D421">
      <w:pPr>
        <w:spacing w:line="560" w:lineRule="exact"/>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报价一览表</w:t>
      </w:r>
    </w:p>
    <w:p w14:paraId="11F481C4">
      <w:pPr>
        <w:spacing w:after="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按“江苏省政府采购管理交易系统（苏采云）”中格式填写。</w:t>
      </w:r>
    </w:p>
    <w:p w14:paraId="3FD45B57">
      <w:pPr>
        <w:widowControl/>
        <w:jc w:val="left"/>
        <w:rPr>
          <w:rFonts w:ascii="方正仿宋_GB2312" w:hAnsi="方正仿宋_GB2312" w:eastAsia="方正仿宋_GB2312" w:cs="方正仿宋_GB2312"/>
          <w:b/>
          <w:kern w:val="2"/>
          <w:sz w:val="28"/>
          <w:szCs w:val="28"/>
        </w:rPr>
      </w:pPr>
      <w:r>
        <w:rPr>
          <w:rFonts w:hint="eastAsia" w:ascii="方正仿宋_GB2312" w:hAnsi="方正仿宋_GB2312" w:eastAsia="方正仿宋_GB2312" w:cs="方正仿宋_GB2312"/>
          <w:sz w:val="28"/>
          <w:szCs w:val="28"/>
        </w:rPr>
        <w:br w:type="page"/>
      </w:r>
      <w:r>
        <w:rPr>
          <w:rFonts w:hint="eastAsia" w:ascii="楷体_GB2312" w:hAnsi="楷体_GB2312" w:eastAsia="楷体_GB2312" w:cs="楷体_GB2312"/>
          <w:b/>
          <w:kern w:val="2"/>
          <w:sz w:val="28"/>
          <w:szCs w:val="28"/>
        </w:rPr>
        <w:t>3.3响应函</w:t>
      </w:r>
    </w:p>
    <w:p w14:paraId="4F0202BC">
      <w:pPr>
        <w:adjustRightInd w:val="0"/>
        <w:snapToGrid w:val="0"/>
        <w:spacing w:line="560" w:lineRule="exact"/>
        <w:jc w:val="center"/>
        <w:rPr>
          <w:rFonts w:ascii="仿宋_GB2312" w:hAnsi="仿宋_GB2312" w:eastAsia="仿宋_GB2312" w:cs="仿宋_GB2312"/>
          <w:b/>
          <w:sz w:val="32"/>
          <w:szCs w:val="32"/>
        </w:rPr>
      </w:pPr>
      <w:bookmarkStart w:id="187" w:name="_Toc367785041"/>
      <w:r>
        <w:rPr>
          <w:rFonts w:hint="eastAsia" w:ascii="仿宋_GB2312" w:hAnsi="仿宋_GB2312" w:eastAsia="仿宋_GB2312" w:cs="仿宋_GB2312"/>
          <w:b/>
          <w:sz w:val="32"/>
          <w:szCs w:val="32"/>
        </w:rPr>
        <w:t>响 应 函</w:t>
      </w:r>
      <w:bookmarkEnd w:id="187"/>
    </w:p>
    <w:p w14:paraId="0018F6D6">
      <w:pPr>
        <w:adjustRightInd w:val="0"/>
        <w:snapToGrid w:val="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致：</w:t>
      </w:r>
      <w:r>
        <w:rPr>
          <w:rFonts w:hint="eastAsia" w:ascii="仿宋_GB2312" w:hAnsi="仿宋_GB2312" w:eastAsia="仿宋_GB2312" w:cs="仿宋_GB2312"/>
          <w:sz w:val="28"/>
          <w:szCs w:val="28"/>
          <w:u w:val="single"/>
        </w:rPr>
        <w:t>（采购人名称）</w:t>
      </w:r>
    </w:p>
    <w:p w14:paraId="5B966001">
      <w:pPr>
        <w:adjustRightInd w:val="0"/>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根据项目采购文件的所有条款要求，遵照《中华人民共和国政府采购法》《中华人民共和国政府采购法实施条例》等有关规定，我方承诺如下：</w:t>
      </w:r>
    </w:p>
    <w:p w14:paraId="2F3432C7">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1.</w:t>
      </w:r>
      <w:r>
        <w:rPr>
          <w:rFonts w:hint="eastAsia" w:eastAsia="仿宋_GB2312"/>
          <w:sz w:val="28"/>
          <w:szCs w:val="28"/>
          <w:lang w:eastAsia="zh-CN"/>
        </w:rPr>
        <w:t>一年的</w:t>
      </w:r>
      <w:r>
        <w:rPr>
          <w:rFonts w:hint="eastAsia" w:ascii="仿宋_GB2312" w:hAnsi="仿宋_GB2312" w:eastAsia="仿宋_GB2312" w:cs="仿宋_GB2312"/>
          <w:sz w:val="28"/>
          <w:szCs w:val="28"/>
        </w:rPr>
        <w:t>报价为（大写）：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。一旦我方成为成交人,我方将根据采购文件的规定，严格履行合同的责任和义务。</w:t>
      </w:r>
    </w:p>
    <w:p w14:paraId="78088D53">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2.</w:t>
      </w:r>
      <w:r>
        <w:rPr>
          <w:rFonts w:hint="eastAsia" w:ascii="仿宋_GB2312" w:hAnsi="仿宋_GB2312" w:eastAsia="仿宋_GB2312" w:cs="仿宋_GB2312"/>
          <w:sz w:val="28"/>
          <w:szCs w:val="28"/>
        </w:rPr>
        <w:t>合同履行期限：</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w:t>
      </w:r>
    </w:p>
    <w:p w14:paraId="605CE924">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3.</w:t>
      </w:r>
      <w:r>
        <w:rPr>
          <w:rFonts w:hint="eastAsia" w:ascii="仿宋_GB2312" w:hAnsi="仿宋_GB2312" w:eastAsia="仿宋_GB2312" w:cs="仿宋_GB2312"/>
          <w:sz w:val="28"/>
          <w:szCs w:val="28"/>
        </w:rPr>
        <w:t>我方已详细审查全部采购文件。我们完全理解并同意放弃对这方面有不明及误解的权力。</w:t>
      </w:r>
    </w:p>
    <w:p w14:paraId="6E4ACEFD">
      <w:pPr>
        <w:adjustRightInd w:val="0"/>
        <w:snapToGrid w:val="0"/>
        <w:spacing w:line="560" w:lineRule="exact"/>
        <w:ind w:firstLine="560" w:firstLineChars="200"/>
        <w:rPr>
          <w:rFonts w:ascii="仿宋_GB2312" w:hAnsi="仿宋_GB2312" w:eastAsia="仿宋_GB2312" w:cs="仿宋_GB2312"/>
          <w:sz w:val="28"/>
          <w:szCs w:val="28"/>
        </w:rPr>
      </w:pPr>
      <w:r>
        <w:rPr>
          <w:rFonts w:eastAsia="仿宋_GB2312"/>
          <w:sz w:val="28"/>
          <w:szCs w:val="28"/>
        </w:rPr>
        <w:t>4.</w:t>
      </w:r>
      <w:r>
        <w:rPr>
          <w:rFonts w:hint="eastAsia" w:ascii="仿宋_GB2312" w:hAnsi="仿宋_GB2312" w:eastAsia="仿宋_GB2312" w:cs="仿宋_GB2312"/>
          <w:sz w:val="28"/>
          <w:szCs w:val="28"/>
        </w:rPr>
        <w:t>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p>
    <w:p w14:paraId="004FD06B">
      <w:pPr>
        <w:adjustRightInd w:val="0"/>
        <w:snapToGrid w:val="0"/>
        <w:spacing w:before="120" w:beforeLines="50" w:line="560" w:lineRule="exact"/>
        <w:ind w:firstLine="3920" w:firstLineChars="1400"/>
        <w:rPr>
          <w:rFonts w:ascii="仿宋_GB2312" w:hAnsi="仿宋_GB2312" w:eastAsia="仿宋_GB2312" w:cs="仿宋_GB2312"/>
          <w:sz w:val="28"/>
          <w:szCs w:val="28"/>
        </w:rPr>
      </w:pPr>
    </w:p>
    <w:p w14:paraId="0BEDA057">
      <w:pPr>
        <w:adjustRightInd w:val="0"/>
        <w:snapToGrid w:val="0"/>
        <w:spacing w:before="120" w:beforeLines="50" w:line="560" w:lineRule="exact"/>
        <w:ind w:firstLine="3920" w:firstLineChars="1400"/>
        <w:rPr>
          <w:rFonts w:ascii="仿宋_GB2312" w:hAnsi="仿宋_GB2312" w:eastAsia="仿宋_GB2312" w:cs="仿宋_GB2312"/>
          <w:sz w:val="28"/>
          <w:szCs w:val="28"/>
        </w:rPr>
      </w:pPr>
    </w:p>
    <w:p w14:paraId="59597CB9">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供应商名称(盖法人章)：</w:t>
      </w:r>
    </w:p>
    <w:p w14:paraId="1116CE5D">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法定代表人(签字或签章)：</w:t>
      </w:r>
    </w:p>
    <w:p w14:paraId="65169B2D">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日期：   年  月  日</w:t>
      </w:r>
      <w:bookmarkStart w:id="188" w:name="_Hlt26955041"/>
      <w:bookmarkEnd w:id="188"/>
    </w:p>
    <w:p w14:paraId="32C72C0C">
      <w:pPr>
        <w:widowControl/>
        <w:spacing w:line="560" w:lineRule="exact"/>
        <w:jc w:val="left"/>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r>
      <w:r>
        <w:rPr>
          <w:rFonts w:hint="eastAsia" w:ascii="楷体_GB2312" w:hAnsi="楷体_GB2312" w:eastAsia="楷体_GB2312" w:cs="楷体_GB2312"/>
          <w:b/>
          <w:kern w:val="2"/>
          <w:sz w:val="28"/>
          <w:szCs w:val="28"/>
        </w:rPr>
        <w:t>3.4</w:t>
      </w:r>
      <w:r>
        <w:rPr>
          <w:rFonts w:hint="eastAsia" w:ascii="楷体_GB2312" w:hAnsi="楷体_GB2312" w:eastAsia="楷体_GB2312" w:cs="楷体_GB2312"/>
          <w:b/>
          <w:sz w:val="28"/>
          <w:szCs w:val="28"/>
        </w:rPr>
        <w:t>供应商资格条件证明文件</w:t>
      </w:r>
    </w:p>
    <w:p w14:paraId="51196762">
      <w:pPr>
        <w:spacing w:line="56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（1）供应商基本资格条件承诺书</w:t>
      </w:r>
    </w:p>
    <w:p w14:paraId="469E7186">
      <w:pPr>
        <w:spacing w:line="560" w:lineRule="exact"/>
        <w:jc w:val="center"/>
        <w:rPr>
          <w:rFonts w:ascii="仿宋_GB2312" w:hAnsi="仿宋_GB2312" w:eastAsia="仿宋_GB2312" w:cs="仿宋_GB2312"/>
          <w:bCs/>
          <w:sz w:val="32"/>
          <w:szCs w:val="32"/>
        </w:rPr>
      </w:pPr>
      <w:r>
        <w:rPr>
          <w:rFonts w:hint="eastAsia" w:ascii="仿宋_GB2312" w:hAnsi="仿宋_GB2312" w:eastAsia="仿宋_GB2312" w:cs="仿宋_GB2312"/>
          <w:bCs/>
          <w:sz w:val="32"/>
          <w:szCs w:val="32"/>
        </w:rPr>
        <w:t>供应商基本资格条件承诺书</w:t>
      </w:r>
    </w:p>
    <w:p w14:paraId="32598E54">
      <w:pPr>
        <w:adjustRightInd w:val="0"/>
        <w:snapToGrid w:val="0"/>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一、按照《政府采购法》第二十二条规定的供应商基本资格条件，我公司郑重承诺如下：</w:t>
      </w:r>
    </w:p>
    <w:p w14:paraId="2EE84861">
      <w:pPr>
        <w:adjustRightInd w:val="0"/>
        <w:snapToGrid w:val="0"/>
        <w:spacing w:line="560" w:lineRule="exact"/>
        <w:ind w:firstLine="560" w:firstLineChars="200"/>
        <w:rPr>
          <w:rFonts w:ascii="仿宋_GB2312" w:hAnsi="仿宋_GB2312" w:eastAsia="仿宋_GB2312" w:cs="仿宋_GB2312"/>
          <w:sz w:val="28"/>
          <w:szCs w:val="28"/>
          <w:shd w:val="clear" w:color="auto" w:fill="FFFFFF"/>
        </w:rPr>
      </w:pPr>
      <w:r>
        <w:rPr>
          <w:rFonts w:eastAsia="仿宋_GB2312"/>
          <w:sz w:val="28"/>
          <w:szCs w:val="28"/>
        </w:rPr>
        <w:t>1.</w:t>
      </w:r>
      <w:r>
        <w:rPr>
          <w:rFonts w:hint="eastAsia" w:ascii="仿宋_GB2312" w:hAnsi="仿宋_GB2312" w:eastAsia="仿宋_GB2312" w:cs="仿宋_GB2312"/>
          <w:sz w:val="28"/>
          <w:szCs w:val="28"/>
        </w:rPr>
        <w:t>我公司具有</w:t>
      </w:r>
      <w:r>
        <w:rPr>
          <w:rFonts w:hint="eastAsia" w:ascii="仿宋_GB2312" w:hAnsi="仿宋_GB2312" w:eastAsia="仿宋_GB2312" w:cs="仿宋_GB2312"/>
          <w:sz w:val="28"/>
          <w:szCs w:val="28"/>
          <w:shd w:val="clear" w:color="auto" w:fill="FFFFFF"/>
        </w:rPr>
        <w:t>良好的商业信誉和健全的财务制度；</w:t>
      </w:r>
    </w:p>
    <w:p w14:paraId="7A987F6C">
      <w:pPr>
        <w:adjustRightInd w:val="0"/>
        <w:snapToGrid w:val="0"/>
        <w:spacing w:line="560" w:lineRule="exact"/>
        <w:ind w:firstLine="560" w:firstLineChars="200"/>
        <w:rPr>
          <w:rFonts w:ascii="仿宋_GB2312" w:hAnsi="仿宋_GB2312" w:eastAsia="仿宋_GB2312" w:cs="仿宋_GB2312"/>
          <w:sz w:val="28"/>
          <w:szCs w:val="28"/>
          <w:shd w:val="clear" w:color="auto" w:fill="FFFFFF"/>
        </w:rPr>
      </w:pPr>
      <w:r>
        <w:rPr>
          <w:rFonts w:eastAsia="仿宋_GB2312"/>
          <w:sz w:val="28"/>
          <w:szCs w:val="28"/>
          <w:shd w:val="clear" w:color="auto" w:fill="FFFFFF"/>
        </w:rPr>
        <w:t>2.</w:t>
      </w:r>
      <w:r>
        <w:rPr>
          <w:rFonts w:hint="eastAsia" w:ascii="仿宋_GB2312" w:hAnsi="仿宋_GB2312" w:eastAsia="仿宋_GB2312" w:cs="仿宋_GB2312"/>
          <w:sz w:val="28"/>
          <w:szCs w:val="28"/>
          <w:shd w:val="clear" w:color="auto" w:fill="FFFFFF"/>
        </w:rPr>
        <w:t>我公司具有履行合同所必须的设备和专业技术能力；</w:t>
      </w:r>
    </w:p>
    <w:p w14:paraId="416E6CF7">
      <w:pPr>
        <w:adjustRightInd w:val="0"/>
        <w:snapToGrid w:val="0"/>
        <w:spacing w:line="560" w:lineRule="exact"/>
        <w:ind w:firstLine="560" w:firstLineChars="200"/>
        <w:rPr>
          <w:rFonts w:ascii="仿宋_GB2312" w:hAnsi="仿宋_GB2312" w:eastAsia="仿宋_GB2312" w:cs="仿宋_GB2312"/>
          <w:sz w:val="28"/>
          <w:szCs w:val="28"/>
          <w:shd w:val="clear" w:color="auto" w:fill="FFFFFF"/>
        </w:rPr>
      </w:pPr>
      <w:r>
        <w:rPr>
          <w:rFonts w:eastAsia="仿宋_GB2312"/>
          <w:sz w:val="28"/>
          <w:szCs w:val="28"/>
          <w:shd w:val="clear" w:color="auto" w:fill="FFFFFF"/>
        </w:rPr>
        <w:t>3.</w:t>
      </w:r>
      <w:r>
        <w:rPr>
          <w:rFonts w:hint="eastAsia" w:ascii="仿宋_GB2312" w:hAnsi="仿宋_GB2312" w:eastAsia="仿宋_GB2312" w:cs="仿宋_GB2312"/>
          <w:sz w:val="28"/>
          <w:szCs w:val="28"/>
          <w:shd w:val="clear" w:color="auto" w:fill="FFFFFF"/>
        </w:rPr>
        <w:t>我公司具有依法缴纳税收和社会保障资金的良好记录；</w:t>
      </w:r>
    </w:p>
    <w:p w14:paraId="25B258B0">
      <w:pPr>
        <w:adjustRightInd w:val="0"/>
        <w:snapToGrid w:val="0"/>
        <w:spacing w:line="560" w:lineRule="exact"/>
        <w:ind w:firstLine="560" w:firstLineChars="200"/>
        <w:rPr>
          <w:rFonts w:ascii="仿宋_GB2312" w:hAnsi="仿宋_GB2312" w:eastAsia="仿宋_GB2312" w:cs="仿宋_GB2312"/>
          <w:sz w:val="28"/>
          <w:szCs w:val="28"/>
          <w:shd w:val="clear" w:color="auto" w:fill="FFFFFF"/>
        </w:rPr>
      </w:pPr>
      <w:r>
        <w:rPr>
          <w:rFonts w:eastAsia="仿宋_GB2312"/>
          <w:sz w:val="28"/>
          <w:szCs w:val="28"/>
          <w:shd w:val="clear" w:color="auto" w:fill="FFFFFF"/>
        </w:rPr>
        <w:t>4.</w:t>
      </w:r>
      <w:r>
        <w:rPr>
          <w:rFonts w:hint="eastAsia" w:ascii="仿宋_GB2312" w:hAnsi="仿宋_GB2312" w:eastAsia="仿宋_GB2312" w:cs="仿宋_GB2312"/>
          <w:sz w:val="28"/>
          <w:szCs w:val="28"/>
          <w:shd w:val="clear" w:color="auto" w:fill="FFFFFF"/>
        </w:rPr>
        <w:t>我公司参加政府采购活动前三年内，在经营活动中没有重大违法记录；</w:t>
      </w:r>
    </w:p>
    <w:p w14:paraId="63EDA15D">
      <w:pPr>
        <w:adjustRightInd w:val="0"/>
        <w:snapToGrid w:val="0"/>
        <w:spacing w:line="560" w:lineRule="exact"/>
        <w:ind w:firstLine="560" w:firstLineChars="200"/>
        <w:rPr>
          <w:rFonts w:ascii="仿宋_GB2312" w:hAnsi="仿宋_GB2312" w:eastAsia="仿宋_GB2312" w:cs="仿宋_GB2312"/>
          <w:sz w:val="28"/>
          <w:szCs w:val="28"/>
          <w:shd w:val="clear" w:color="auto" w:fill="FFFFFF"/>
        </w:rPr>
      </w:pPr>
      <w:r>
        <w:rPr>
          <w:rFonts w:eastAsia="仿宋_GB2312"/>
          <w:sz w:val="28"/>
          <w:szCs w:val="28"/>
          <w:shd w:val="clear" w:color="auto" w:fill="FFFFFF"/>
        </w:rPr>
        <w:t>5.</w:t>
      </w:r>
      <w:r>
        <w:rPr>
          <w:rFonts w:hint="eastAsia" w:ascii="仿宋_GB2312" w:hAnsi="仿宋_GB2312" w:eastAsia="仿宋_GB2312" w:cs="仿宋_GB2312"/>
          <w:sz w:val="28"/>
          <w:szCs w:val="28"/>
          <w:shd w:val="clear" w:color="auto" w:fill="FFFFFF"/>
        </w:rPr>
        <w:t>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rPr>
        <w:t>。</w:t>
      </w:r>
    </w:p>
    <w:p w14:paraId="32CC14E4">
      <w:pPr>
        <w:adjustRightInd w:val="0"/>
        <w:snapToGrid w:val="0"/>
        <w:spacing w:line="560" w:lineRule="exact"/>
        <w:ind w:firstLine="560" w:firstLineChars="200"/>
        <w:rPr>
          <w:rFonts w:ascii="仿宋_GB2312" w:hAnsi="仿宋_GB2312" w:eastAsia="仿宋_GB2312" w:cs="仿宋_GB2312"/>
          <w:kern w:val="2"/>
          <w:sz w:val="28"/>
          <w:szCs w:val="28"/>
        </w:rPr>
      </w:pPr>
      <w:r>
        <w:rPr>
          <w:rFonts w:hint="eastAsia" w:ascii="仿宋_GB2312" w:hAnsi="仿宋_GB2312" w:eastAsia="仿宋_GB2312" w:cs="仿宋_GB2312"/>
          <w:sz w:val="28"/>
          <w:szCs w:val="28"/>
          <w:shd w:val="clear" w:color="auto" w:fill="FFFFFF"/>
        </w:rPr>
        <w:t>二、</w:t>
      </w:r>
      <w:r>
        <w:rPr>
          <w:rFonts w:hint="eastAsia" w:ascii="仿宋_GB2312" w:hAnsi="仿宋_GB2312" w:eastAsia="仿宋_GB2312" w:cs="仿宋_GB2312"/>
          <w:sz w:val="28"/>
          <w:szCs w:val="28"/>
        </w:rPr>
        <w:t>我公司承诺：在本次投标过程中，我公司不存在本项目采购文件第二章第</w:t>
      </w:r>
      <w:r>
        <w:rPr>
          <w:rFonts w:eastAsia="仿宋_GB2312"/>
          <w:sz w:val="28"/>
          <w:szCs w:val="28"/>
        </w:rPr>
        <w:t>1.4.3</w:t>
      </w:r>
      <w:r>
        <w:rPr>
          <w:rFonts w:hint="eastAsia" w:ascii="仿宋_GB2312" w:hAnsi="仿宋_GB2312" w:eastAsia="仿宋_GB2312" w:cs="仿宋_GB2312"/>
          <w:sz w:val="28"/>
          <w:szCs w:val="28"/>
        </w:rPr>
        <w:t>条所列情形之一。</w:t>
      </w:r>
    </w:p>
    <w:p w14:paraId="320CED4B">
      <w:pPr>
        <w:adjustRightInd w:val="0"/>
        <w:snapToGrid w:val="0"/>
        <w:spacing w:before="120" w:beforeLines="50" w:line="560" w:lineRule="exact"/>
        <w:ind w:firstLine="3920" w:firstLineChars="1400"/>
        <w:rPr>
          <w:rFonts w:ascii="仿宋_GB2312" w:hAnsi="仿宋_GB2312" w:eastAsia="仿宋_GB2312" w:cs="仿宋_GB2312"/>
          <w:sz w:val="28"/>
          <w:szCs w:val="28"/>
        </w:rPr>
      </w:pPr>
    </w:p>
    <w:p w14:paraId="447A584F">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供应商名称(盖法人章)：</w:t>
      </w:r>
    </w:p>
    <w:p w14:paraId="5863AE05">
      <w:pPr>
        <w:adjustRightInd w:val="0"/>
        <w:snapToGrid w:val="0"/>
        <w:spacing w:before="120" w:beforeLines="50" w:line="560" w:lineRule="exact"/>
        <w:ind w:firstLine="3920" w:firstLineChars="140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法定代表人(签字或签章)：</w:t>
      </w:r>
    </w:p>
    <w:p w14:paraId="6F8045B3">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日期：   年  月  日</w:t>
      </w:r>
    </w:p>
    <w:p w14:paraId="7963A05A">
      <w:pPr>
        <w:widowControl/>
        <w:jc w:val="left"/>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r>
      <w:r>
        <w:rPr>
          <w:rFonts w:hint="eastAsia" w:ascii="仿宋_GB2312" w:hAnsi="仿宋_GB2312" w:eastAsia="仿宋_GB2312" w:cs="仿宋_GB2312"/>
          <w:b/>
          <w:kern w:val="2"/>
          <w:sz w:val="28"/>
          <w:szCs w:val="28"/>
        </w:rPr>
        <w:t>（2）</w:t>
      </w:r>
      <w:r>
        <w:rPr>
          <w:rFonts w:hint="eastAsia" w:ascii="仿宋_GB2312" w:hAnsi="仿宋_GB2312" w:eastAsia="仿宋_GB2312" w:cs="仿宋_GB2312"/>
          <w:b/>
          <w:sz w:val="28"/>
          <w:szCs w:val="28"/>
        </w:rPr>
        <w:t>中小企业声明函</w:t>
      </w:r>
    </w:p>
    <w:p w14:paraId="14D8F592">
      <w:pPr>
        <w:spacing w:line="440" w:lineRule="exact"/>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中小企业声明函</w:t>
      </w:r>
    </w:p>
    <w:p w14:paraId="33EC8F20">
      <w:pPr>
        <w:spacing w:line="440" w:lineRule="exact"/>
        <w:ind w:firstLine="570"/>
        <w:rPr>
          <w:rFonts w:ascii="仿宋_GB2312" w:hAnsi="仿宋_GB2312" w:eastAsia="仿宋_GB2312" w:cs="仿宋_GB2312"/>
          <w:sz w:val="28"/>
          <w:szCs w:val="28"/>
        </w:rPr>
      </w:pPr>
      <w:r>
        <w:rPr>
          <w:rFonts w:hint="eastAsia" w:ascii="仿宋_GB2312" w:hAnsi="仿宋_GB2312" w:eastAsia="仿宋_GB2312" w:cs="仿宋_GB2312"/>
          <w:sz w:val="28"/>
          <w:szCs w:val="28"/>
        </w:rPr>
        <w:t>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rPr>
        <w:t>（单位名称）</w:t>
      </w:r>
      <w:r>
        <w:rPr>
          <w:rFonts w:hint="eastAsia" w:ascii="仿宋_GB2312" w:hAnsi="仿宋_GB2312" w:eastAsia="仿宋_GB2312" w:cs="仿宋_GB2312"/>
          <w:sz w:val="28"/>
          <w:szCs w:val="28"/>
        </w:rPr>
        <w:t>的</w:t>
      </w:r>
      <w:r>
        <w:rPr>
          <w:rFonts w:hint="eastAsia" w:ascii="仿宋_GB2312" w:hAnsi="仿宋_GB2312" w:eastAsia="仿宋_GB2312" w:cs="仿宋_GB2312"/>
          <w:sz w:val="28"/>
          <w:szCs w:val="28"/>
          <w:u w:val="single"/>
        </w:rPr>
        <w:t xml:space="preserve"> （项目名称）       </w:t>
      </w:r>
      <w:r>
        <w:rPr>
          <w:rFonts w:hint="eastAsia" w:ascii="仿宋_GB2312" w:hAnsi="仿宋_GB2312" w:eastAsia="仿宋_GB2312" w:cs="仿宋_GB2312"/>
          <w:sz w:val="28"/>
          <w:szCs w:val="28"/>
        </w:rPr>
        <w:t>采购活动，服务全部由符合政策要求的中小企业承接。相关企业（含联合体中的中小企业、签订分包意向协议的中小企业）的具体情况如下：</w:t>
      </w:r>
    </w:p>
    <w:p w14:paraId="14B066A4">
      <w:pPr>
        <w:spacing w:line="440" w:lineRule="exact"/>
        <w:ind w:firstLine="56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u w:val="single"/>
        </w:rPr>
        <w:t xml:space="preserve"> （标的名称）       </w:t>
      </w:r>
      <w:r>
        <w:rPr>
          <w:rFonts w:hint="eastAsia" w:ascii="仿宋_GB2312" w:hAnsi="仿宋_GB2312" w:eastAsia="仿宋_GB2312" w:cs="仿宋_GB2312"/>
          <w:sz w:val="28"/>
          <w:szCs w:val="28"/>
        </w:rPr>
        <w:t>，属于</w:t>
      </w:r>
      <w:r>
        <w:rPr>
          <w:rFonts w:hint="eastAsia" w:ascii="仿宋_GB2312" w:hAnsi="仿宋_GB2312" w:eastAsia="仿宋_GB2312" w:cs="仿宋_GB2312"/>
          <w:sz w:val="28"/>
          <w:szCs w:val="28"/>
          <w:u w:val="single"/>
        </w:rPr>
        <w:t xml:space="preserve">物业管理 </w:t>
      </w:r>
      <w:r>
        <w:rPr>
          <w:rFonts w:hint="eastAsia" w:ascii="仿宋_GB2312" w:hAnsi="仿宋_GB2312" w:eastAsia="仿宋_GB2312" w:cs="仿宋_GB2312"/>
          <w:sz w:val="28"/>
          <w:szCs w:val="28"/>
        </w:rPr>
        <w:t>；承建（承接）企业为</w:t>
      </w:r>
      <w:r>
        <w:rPr>
          <w:rFonts w:hint="eastAsia" w:ascii="仿宋_GB2312" w:hAnsi="仿宋_GB2312" w:eastAsia="仿宋_GB2312" w:cs="仿宋_GB2312"/>
          <w:sz w:val="28"/>
          <w:szCs w:val="28"/>
          <w:u w:val="single"/>
        </w:rPr>
        <w:t xml:space="preserve"> （企业名称）</w:t>
      </w:r>
      <w:r>
        <w:rPr>
          <w:rFonts w:hint="eastAsia" w:ascii="仿宋_GB2312" w:hAnsi="仿宋_GB2312" w:eastAsia="仿宋_GB2312" w:cs="仿宋_GB2312"/>
          <w:sz w:val="28"/>
          <w:szCs w:val="28"/>
        </w:rPr>
        <w:t>，从业人员人，营业收入万元，资产总额万元，属于（中型企业、小型企业、微型企业）；</w:t>
      </w:r>
    </w:p>
    <w:p w14:paraId="54A09799">
      <w:pPr>
        <w:spacing w:line="440" w:lineRule="exact"/>
        <w:ind w:firstLine="56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2.</w:t>
      </w:r>
      <w:r>
        <w:rPr>
          <w:rFonts w:hint="eastAsia" w:ascii="仿宋_GB2312" w:hAnsi="仿宋_GB2312" w:eastAsia="仿宋_GB2312" w:cs="仿宋_GB2312"/>
          <w:sz w:val="28"/>
          <w:szCs w:val="28"/>
          <w:u w:val="single"/>
        </w:rPr>
        <w:t xml:space="preserve">（标的名称）        </w:t>
      </w:r>
      <w:r>
        <w:rPr>
          <w:rFonts w:hint="eastAsia" w:ascii="仿宋_GB2312" w:hAnsi="仿宋_GB2312" w:eastAsia="仿宋_GB2312" w:cs="仿宋_GB2312"/>
          <w:sz w:val="28"/>
          <w:szCs w:val="28"/>
        </w:rPr>
        <w:t>，属于</w:t>
      </w:r>
      <w:r>
        <w:rPr>
          <w:rFonts w:hint="eastAsia" w:ascii="仿宋_GB2312" w:hAnsi="仿宋_GB2312" w:eastAsia="仿宋_GB2312" w:cs="仿宋_GB2312"/>
          <w:sz w:val="28"/>
          <w:szCs w:val="28"/>
          <w:u w:val="single"/>
        </w:rPr>
        <w:t xml:space="preserve">物业管理 </w:t>
      </w:r>
      <w:r>
        <w:rPr>
          <w:rFonts w:hint="eastAsia" w:ascii="仿宋_GB2312" w:hAnsi="仿宋_GB2312" w:eastAsia="仿宋_GB2312" w:cs="仿宋_GB2312"/>
          <w:sz w:val="28"/>
          <w:szCs w:val="28"/>
        </w:rPr>
        <w:t>；承建（承接）企业为</w:t>
      </w:r>
      <w:r>
        <w:rPr>
          <w:rFonts w:hint="eastAsia" w:ascii="仿宋_GB2312" w:hAnsi="仿宋_GB2312" w:eastAsia="仿宋_GB2312" w:cs="仿宋_GB2312"/>
          <w:sz w:val="28"/>
          <w:szCs w:val="28"/>
          <w:u w:val="single"/>
        </w:rPr>
        <w:t xml:space="preserve"> （企业名称）</w:t>
      </w:r>
      <w:r>
        <w:rPr>
          <w:rFonts w:hint="eastAsia" w:ascii="仿宋_GB2312" w:hAnsi="仿宋_GB2312" w:eastAsia="仿宋_GB2312" w:cs="仿宋_GB2312"/>
          <w:sz w:val="28"/>
          <w:szCs w:val="28"/>
        </w:rPr>
        <w:t>，从业人员人，营业收入万元，资产总额万元，属于（中型企业、小型企业、微型企业）；</w:t>
      </w:r>
    </w:p>
    <w:p w14:paraId="34F95732">
      <w:pPr>
        <w:pStyle w:val="59"/>
        <w:spacing w:line="440" w:lineRule="exact"/>
        <w:ind w:left="930"/>
        <w:rPr>
          <w:rFonts w:ascii="仿宋_GB2312" w:hAnsi="仿宋_GB2312" w:eastAsia="仿宋_GB2312" w:cs="仿宋_GB2312"/>
          <w:sz w:val="28"/>
          <w:szCs w:val="28"/>
        </w:rPr>
      </w:pPr>
      <w:r>
        <w:rPr>
          <w:rFonts w:hint="eastAsia" w:ascii="仿宋_GB2312" w:hAnsi="仿宋_GB2312" w:eastAsia="仿宋_GB2312" w:cs="仿宋_GB2312"/>
          <w:sz w:val="28"/>
          <w:szCs w:val="28"/>
        </w:rPr>
        <w:t>……</w:t>
      </w:r>
    </w:p>
    <w:p w14:paraId="684E5408">
      <w:pPr>
        <w:spacing w:line="44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以上企业，不属于大企业的分支机构，不存在控股股东为大企业的情形，也不存在与大企业的负责人为同一人的情形。</w:t>
      </w:r>
    </w:p>
    <w:p w14:paraId="016A91DD">
      <w:pPr>
        <w:spacing w:line="440" w:lineRule="exact"/>
        <w:ind w:firstLine="570"/>
        <w:rPr>
          <w:rFonts w:ascii="仿宋_GB2312" w:hAnsi="仿宋_GB2312" w:eastAsia="仿宋_GB2312" w:cs="仿宋_GB2312"/>
          <w:sz w:val="28"/>
          <w:szCs w:val="28"/>
        </w:rPr>
      </w:pPr>
      <w:r>
        <w:rPr>
          <w:rFonts w:hint="eastAsia" w:ascii="仿宋_GB2312" w:hAnsi="仿宋_GB2312" w:eastAsia="仿宋_GB2312" w:cs="仿宋_GB2312"/>
          <w:sz w:val="28"/>
          <w:szCs w:val="28"/>
        </w:rPr>
        <w:t>本企业对上述声明内容的真实性负责。如有虚假，将依法承担相应责任。</w:t>
      </w:r>
    </w:p>
    <w:p w14:paraId="1084B590">
      <w:pPr>
        <w:spacing w:line="440" w:lineRule="exact"/>
        <w:ind w:firstLine="4760"/>
        <w:rPr>
          <w:rFonts w:ascii="仿宋_GB2312" w:hAnsi="仿宋_GB2312" w:eastAsia="仿宋_GB2312" w:cs="仿宋_GB2312"/>
          <w:sz w:val="28"/>
          <w:szCs w:val="28"/>
        </w:rPr>
      </w:pPr>
      <w:r>
        <w:rPr>
          <w:rFonts w:hint="eastAsia" w:ascii="仿宋_GB2312" w:hAnsi="仿宋_GB2312" w:eastAsia="仿宋_GB2312" w:cs="仿宋_GB2312"/>
          <w:sz w:val="28"/>
          <w:szCs w:val="28"/>
        </w:rPr>
        <w:t>企业名称（盖章）：</w:t>
      </w:r>
    </w:p>
    <w:p w14:paraId="7409C16B">
      <w:pPr>
        <w:spacing w:line="440" w:lineRule="exact"/>
        <w:ind w:firstLine="4760"/>
        <w:rPr>
          <w:rFonts w:ascii="仿宋_GB2312" w:hAnsi="仿宋_GB2312" w:eastAsia="仿宋_GB2312" w:cs="仿宋_GB2312"/>
          <w:sz w:val="28"/>
          <w:szCs w:val="28"/>
        </w:rPr>
      </w:pPr>
      <w:r>
        <w:rPr>
          <w:rFonts w:hint="eastAsia" w:ascii="仿宋_GB2312" w:hAnsi="仿宋_GB2312" w:eastAsia="仿宋_GB2312" w:cs="仿宋_GB2312"/>
          <w:sz w:val="28"/>
          <w:szCs w:val="28"/>
        </w:rPr>
        <w:t>日  期：</w:t>
      </w:r>
    </w:p>
    <w:p w14:paraId="4E9BCE97">
      <w:pPr>
        <w:pStyle w:val="209"/>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注：1、从业人员、营业收入填报上一年度数据，无上一年度数据的新成立企业可不填报。</w:t>
      </w:r>
    </w:p>
    <w:p w14:paraId="5D20C2E4">
      <w:pPr>
        <w:spacing w:line="44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2、供应商提供的声明函内容不实的，属于提供虚假材料谋取成交，依照《中华人民共和国政府采购法》等国家有关规定追究相应责任。</w:t>
      </w:r>
    </w:p>
    <w:p w14:paraId="30636B6D">
      <w:pPr>
        <w:rPr>
          <w:rFonts w:ascii="楷体_GB2312" w:hAnsi="楷体_GB2312" w:eastAsia="楷体_GB2312" w:cs="楷体_GB2312"/>
          <w:b/>
          <w:sz w:val="28"/>
          <w:szCs w:val="28"/>
        </w:rPr>
      </w:pPr>
      <w:r>
        <w:rPr>
          <w:rFonts w:hint="eastAsia" w:ascii="楷体_GB2312" w:hAnsi="楷体_GB2312" w:eastAsia="楷体_GB2312" w:cs="楷体_GB2312"/>
          <w:b/>
          <w:sz w:val="28"/>
          <w:szCs w:val="28"/>
        </w:rPr>
        <w:br w:type="page"/>
      </w:r>
    </w:p>
    <w:p w14:paraId="45B5E012">
      <w:pPr>
        <w:widowControl/>
        <w:spacing w:line="560" w:lineRule="exact"/>
        <w:jc w:val="left"/>
        <w:rPr>
          <w:rFonts w:ascii="方正仿宋_GB2312" w:hAnsi="方正仿宋_GB2312" w:eastAsia="方正仿宋_GB2312" w:cs="方正仿宋_GB2312"/>
          <w:b/>
          <w:sz w:val="28"/>
          <w:szCs w:val="28"/>
        </w:rPr>
      </w:pPr>
      <w:r>
        <w:rPr>
          <w:rFonts w:hint="eastAsia" w:ascii="楷体_GB2312" w:hAnsi="楷体_GB2312" w:eastAsia="楷体_GB2312" w:cs="楷体_GB2312"/>
          <w:b/>
          <w:sz w:val="28"/>
          <w:szCs w:val="28"/>
        </w:rPr>
        <w:t>3.5采购需求响应表</w:t>
      </w:r>
    </w:p>
    <w:p w14:paraId="56D313F7">
      <w:pPr>
        <w:adjustRightInd w:val="0"/>
        <w:snapToGrid w:val="0"/>
        <w:spacing w:line="560" w:lineRule="exact"/>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采购需求响应表</w:t>
      </w:r>
    </w:p>
    <w:p w14:paraId="57D1D265">
      <w:pPr>
        <w:pStyle w:val="48"/>
        <w:rPr>
          <w:rFonts w:ascii="仿宋_GB2312" w:hAnsi="仿宋_GB2312" w:eastAsia="仿宋_GB2312" w:cs="仿宋_GB2312"/>
          <w:sz w:val="28"/>
          <w:szCs w:val="28"/>
        </w:rPr>
      </w:pPr>
      <w:r>
        <w:rPr>
          <w:rFonts w:hint="eastAsia" w:ascii="仿宋_GB2312" w:hAnsi="仿宋_GB2312" w:eastAsia="仿宋_GB2312" w:cs="仿宋_GB2312"/>
          <w:sz w:val="28"/>
          <w:szCs w:val="28"/>
        </w:rPr>
        <w:t>格式自拟。</w:t>
      </w:r>
    </w:p>
    <w:p w14:paraId="1ECEE0BC">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供应商名称(盖法人章)：</w:t>
      </w:r>
    </w:p>
    <w:p w14:paraId="0F6AC3F1">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法定代表人(签字或签章)：</w:t>
      </w:r>
    </w:p>
    <w:p w14:paraId="0C15242C">
      <w:pPr>
        <w:adjustRightInd w:val="0"/>
        <w:snapToGrid w:val="0"/>
        <w:spacing w:before="120" w:beforeLines="50" w:line="560" w:lineRule="exact"/>
        <w:ind w:firstLine="3920" w:firstLineChars="1400"/>
        <w:rPr>
          <w:rFonts w:ascii="仿宋_GB2312" w:hAnsi="仿宋_GB2312" w:eastAsia="仿宋_GB2312" w:cs="仿宋_GB2312"/>
          <w:sz w:val="28"/>
          <w:szCs w:val="28"/>
        </w:rPr>
      </w:pPr>
      <w:r>
        <w:rPr>
          <w:rFonts w:hint="eastAsia" w:ascii="仿宋_GB2312" w:hAnsi="仿宋_GB2312" w:eastAsia="仿宋_GB2312" w:cs="仿宋_GB2312"/>
          <w:sz w:val="28"/>
          <w:szCs w:val="28"/>
        </w:rPr>
        <w:t>日期：   年  月  日</w:t>
      </w:r>
    </w:p>
    <w:p w14:paraId="2F7DEBEB">
      <w:pPr>
        <w:rPr>
          <w:rFonts w:ascii="方正仿宋_GB2312" w:hAnsi="方正仿宋_GB2312" w:eastAsia="方正仿宋_GB2312" w:cs="方正仿宋_GB2312"/>
          <w:b/>
          <w:sz w:val="28"/>
          <w:szCs w:val="28"/>
        </w:rPr>
      </w:pPr>
    </w:p>
    <w:p w14:paraId="2115491E">
      <w:pPr>
        <w:pStyle w:val="14"/>
        <w:rPr>
          <w:rFonts w:ascii="方正仿宋_GB2312" w:hAnsi="方正仿宋_GB2312" w:eastAsia="方正仿宋_GB2312" w:cs="方正仿宋_GB2312"/>
        </w:rPr>
      </w:pPr>
    </w:p>
    <w:p w14:paraId="00C68128">
      <w:pPr>
        <w:snapToGrid w:val="0"/>
        <w:spacing w:line="300" w:lineRule="exact"/>
        <w:rPr>
          <w:rFonts w:ascii="楷体_GB2312" w:hAnsi="楷体_GB2312" w:eastAsia="楷体_GB2312" w:cs="楷体_GB2312"/>
          <w:b/>
          <w:sz w:val="28"/>
          <w:szCs w:val="28"/>
        </w:rPr>
      </w:pPr>
    </w:p>
    <w:p w14:paraId="7C78B6D4">
      <w:pPr>
        <w:snapToGrid w:val="0"/>
        <w:spacing w:line="300" w:lineRule="exact"/>
        <w:rPr>
          <w:rFonts w:ascii="楷体_GB2312" w:hAnsi="楷体_GB2312" w:eastAsia="楷体_GB2312" w:cs="楷体_GB2312"/>
          <w:b/>
          <w:sz w:val="28"/>
          <w:szCs w:val="28"/>
        </w:rPr>
      </w:pPr>
    </w:p>
    <w:bookmarkEnd w:id="177"/>
    <w:bookmarkEnd w:id="178"/>
    <w:bookmarkEnd w:id="179"/>
    <w:bookmarkEnd w:id="180"/>
    <w:bookmarkEnd w:id="181"/>
    <w:bookmarkEnd w:id="182"/>
    <w:bookmarkEnd w:id="183"/>
    <w:bookmarkEnd w:id="184"/>
    <w:bookmarkEnd w:id="185"/>
    <w:bookmarkEnd w:id="186"/>
    <w:p w14:paraId="7A73ECEE">
      <w:pPr>
        <w:widowControl/>
        <w:jc w:val="left"/>
        <w:rPr>
          <w:rFonts w:hint="eastAsia" w:ascii="楷体_GB2312" w:hAnsi="楷体_GB2312" w:eastAsia="楷体_GB2312" w:cs="楷体_GB2312"/>
          <w:b/>
          <w:sz w:val="28"/>
          <w:szCs w:val="28"/>
        </w:rPr>
      </w:pPr>
    </w:p>
    <w:p w14:paraId="548E3850">
      <w:pPr>
        <w:widowControl/>
        <w:jc w:val="left"/>
        <w:rPr>
          <w:rFonts w:hint="eastAsia" w:ascii="楷体_GB2312" w:hAnsi="楷体_GB2312" w:eastAsia="楷体_GB2312" w:cs="楷体_GB2312"/>
          <w:b/>
          <w:sz w:val="28"/>
          <w:szCs w:val="28"/>
          <w:lang w:val="en-US" w:eastAsia="zh-CN"/>
        </w:rPr>
      </w:pPr>
      <w:r>
        <w:rPr>
          <w:rFonts w:hint="eastAsia" w:ascii="楷体_GB2312" w:hAnsi="楷体_GB2312" w:eastAsia="楷体_GB2312" w:cs="楷体_GB2312"/>
          <w:b/>
          <w:sz w:val="28"/>
          <w:szCs w:val="28"/>
        </w:rPr>
        <w:t>3.</w:t>
      </w:r>
      <w:r>
        <w:rPr>
          <w:rFonts w:hint="eastAsia" w:ascii="楷体_GB2312" w:hAnsi="楷体_GB2312" w:eastAsia="楷体_GB2312" w:cs="楷体_GB2312"/>
          <w:b/>
          <w:sz w:val="28"/>
          <w:szCs w:val="28"/>
          <w:lang w:val="en-US" w:eastAsia="zh-CN"/>
        </w:rPr>
        <w:t>6报价明细表（格式自拟）</w:t>
      </w:r>
    </w:p>
    <w:p w14:paraId="69FC3367">
      <w:pPr>
        <w:widowControl/>
        <w:jc w:val="left"/>
        <w:rPr>
          <w:rFonts w:hint="eastAsia" w:ascii="楷体_GB2312" w:hAnsi="楷体_GB2312" w:eastAsia="楷体_GB2312" w:cs="楷体_GB2312"/>
          <w:b/>
          <w:sz w:val="28"/>
          <w:szCs w:val="28"/>
          <w:lang w:val="en-US" w:eastAsia="zh-CN"/>
        </w:rPr>
      </w:pPr>
    </w:p>
    <w:p w14:paraId="25BAFC2F">
      <w:pPr>
        <w:widowControl/>
        <w:jc w:val="left"/>
        <w:rPr>
          <w:rFonts w:hint="eastAsia" w:ascii="楷体_GB2312" w:hAnsi="楷体_GB2312" w:eastAsia="楷体_GB2312" w:cs="楷体_GB2312"/>
          <w:b/>
          <w:sz w:val="28"/>
          <w:szCs w:val="28"/>
          <w:lang w:val="en-US" w:eastAsia="zh-CN"/>
        </w:rPr>
      </w:pPr>
    </w:p>
    <w:p w14:paraId="0EDD5B5F">
      <w:pPr>
        <w:widowControl/>
        <w:jc w:val="left"/>
        <w:rPr>
          <w:rFonts w:hint="eastAsia" w:ascii="楷体_GB2312" w:hAnsi="楷体_GB2312" w:eastAsia="楷体_GB2312" w:cs="楷体_GB2312"/>
          <w:b/>
          <w:sz w:val="28"/>
          <w:szCs w:val="28"/>
          <w:lang w:val="en-US" w:eastAsia="zh-CN"/>
        </w:rPr>
      </w:pPr>
    </w:p>
    <w:p w14:paraId="75E5D67D">
      <w:pPr>
        <w:widowControl/>
        <w:jc w:val="left"/>
        <w:rPr>
          <w:rFonts w:ascii="楷体_GB2312" w:hAnsi="楷体_GB2312" w:eastAsia="楷体_GB2312" w:cs="楷体_GB2312"/>
          <w:b/>
          <w:sz w:val="28"/>
          <w:szCs w:val="28"/>
        </w:rPr>
      </w:pPr>
      <w:r>
        <w:rPr>
          <w:rFonts w:hint="eastAsia" w:ascii="楷体_GB2312" w:hAnsi="楷体_GB2312" w:eastAsia="楷体_GB2312" w:cs="楷体_GB2312"/>
          <w:b/>
          <w:sz w:val="28"/>
          <w:szCs w:val="28"/>
          <w:lang w:val="en-US" w:eastAsia="zh-CN"/>
        </w:rPr>
        <w:t>3.7</w:t>
      </w:r>
      <w:r>
        <w:rPr>
          <w:rFonts w:hint="eastAsia" w:ascii="楷体_GB2312" w:hAnsi="楷体_GB2312" w:eastAsia="楷体_GB2312" w:cs="楷体_GB2312"/>
          <w:b/>
          <w:sz w:val="28"/>
          <w:szCs w:val="28"/>
        </w:rPr>
        <w:t>供应商认为应列入响应文件的其他材料</w:t>
      </w:r>
    </w:p>
    <w:sectPr>
      <w:footerReference r:id="rId4" w:type="default"/>
      <w:pgSz w:w="11906" w:h="16838"/>
      <w:pgMar w:top="1440" w:right="1085" w:bottom="1440" w:left="1701"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80D9F00-B86D-4042-950E-04BF2B0E1146}"/>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2" w:fontKey="{484AD762-6F32-407A-B7D8-80EC00A00BC7}"/>
  </w:font>
  <w:font w:name="仿宋">
    <w:panose1 w:val="02010609060101010101"/>
    <w:charset w:val="86"/>
    <w:family w:val="modern"/>
    <w:pitch w:val="default"/>
    <w:sig w:usb0="800002BF" w:usb1="38CF7CFA" w:usb2="00000016" w:usb3="00000000" w:csb0="00040001" w:csb1="00000000"/>
    <w:embedRegular r:id="rId3" w:fontKey="{A361D69E-497B-4A65-874A-4FA4F2E9A5B5}"/>
  </w:font>
  <w:font w:name="方正小标宋_GBK">
    <w:panose1 w:val="03000509000000000000"/>
    <w:charset w:val="86"/>
    <w:family w:val="script"/>
    <w:pitch w:val="default"/>
    <w:sig w:usb0="00000001" w:usb1="080E0000" w:usb2="00000000" w:usb3="00000000" w:csb0="00040000" w:csb1="00000000"/>
    <w:embedRegular r:id="rId4" w:fontKey="{FDDE092C-08EE-4129-AAA1-3C4404BC243E}"/>
  </w:font>
  <w:font w:name="楷体">
    <w:panose1 w:val="02010609060101010101"/>
    <w:charset w:val="86"/>
    <w:family w:val="modern"/>
    <w:pitch w:val="default"/>
    <w:sig w:usb0="800002BF" w:usb1="38CF7CFA" w:usb2="00000016" w:usb3="00000000" w:csb0="00040001" w:csb1="00000000"/>
    <w:embedRegular r:id="rId5" w:fontKey="{F95A65EC-F333-40C0-B308-1E6386C0AE6C}"/>
  </w:font>
  <w:font w:name="楷体_GB2312">
    <w:panose1 w:val="02010609030101010101"/>
    <w:charset w:val="86"/>
    <w:family w:val="modern"/>
    <w:pitch w:val="default"/>
    <w:sig w:usb0="00000001" w:usb1="080E0000" w:usb2="00000000" w:usb3="00000000" w:csb0="00040000" w:csb1="00000000"/>
    <w:embedRegular r:id="rId6" w:fontKey="{5CD5DD3C-5830-4468-BFE0-D59A6A1BF958}"/>
  </w:font>
  <w:font w:name="方正小标宋简体">
    <w:panose1 w:val="03000509000000000000"/>
    <w:charset w:val="86"/>
    <w:family w:val="script"/>
    <w:pitch w:val="default"/>
    <w:sig w:usb0="00000001" w:usb1="080E0000" w:usb2="00000000" w:usb3="00000000" w:csb0="00040000" w:csb1="00000000"/>
    <w:embedRegular r:id="rId7" w:fontKey="{17C0A3FD-8F4C-4656-B136-56BE4AC96E8A}"/>
  </w:font>
  <w:font w:name="方正仿宋_GB2312">
    <w:altName w:val="仿宋"/>
    <w:panose1 w:val="00000000000000000000"/>
    <w:charset w:val="00"/>
    <w:family w:val="auto"/>
    <w:pitch w:val="default"/>
    <w:sig w:usb0="00000000" w:usb1="00000000" w:usb2="00000000" w:usb3="00000000" w:csb0="00000000" w:csb1="00000000"/>
    <w:embedRegular r:id="rId8" w:fontKey="{7664466A-3F70-4841-B97B-50847AE195EA}"/>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B9CC3">
    <w:pPr>
      <w:pStyle w:val="210"/>
      <w:jc w:val="center"/>
    </w:pPr>
    <w:r>
      <w:fldChar w:fldCharType="begin"/>
    </w:r>
    <w:r>
      <w:instrText xml:space="preserve"> PAGE   \* MERGEFORMAT </w:instrText>
    </w:r>
    <w:r>
      <w:fldChar w:fldCharType="separate"/>
    </w:r>
    <w:r>
      <w:t>3</w:t>
    </w:r>
    <w:r>
      <w:fldChar w:fldCharType="end"/>
    </w:r>
  </w:p>
  <w:p w14:paraId="11CB721C">
    <w:pPr>
      <w:pStyle w:val="2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20AFC">
    <w:pPr>
      <w:pStyle w:val="20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lvlText w:val="%1."/>
      <w:lvlJc w:val="left"/>
      <w:pPr>
        <w:tabs>
          <w:tab w:val="left" w:pos="360"/>
        </w:tabs>
        <w:ind w:left="0" w:firstLine="0"/>
      </w:pPr>
      <w:rPr>
        <w:rFonts w:ascii="Arial" w:hAnsi="Arial"/>
        <w:b/>
        <w:i w:val="0"/>
        <w:sz w:val="32"/>
      </w:rPr>
    </w:lvl>
    <w:lvl w:ilvl="1" w:tentative="0">
      <w:start w:val="1"/>
      <w:numFmt w:val="decimal"/>
      <w:lvlText w:val="%1.%2."/>
      <w:lvlJc w:val="left"/>
      <w:pPr>
        <w:tabs>
          <w:tab w:val="left" w:pos="720"/>
        </w:tabs>
        <w:ind w:left="567" w:hanging="567"/>
      </w:pPr>
      <w:rPr>
        <w:rFonts w:hint="eastAsia"/>
      </w:rPr>
    </w:lvl>
    <w:lvl w:ilvl="2" w:tentative="0">
      <w:start w:val="1"/>
      <w:numFmt w:val="decimal"/>
      <w:pStyle w:val="46"/>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iYTA1YmZiMDQ2ZmM1YmI0MjIwM2ZiZjk4NmQ4NDEifQ=="/>
  </w:docVars>
  <w:rsids>
    <w:rsidRoot w:val="00532FF4"/>
    <w:rsid w:val="0000099D"/>
    <w:rsid w:val="0003014F"/>
    <w:rsid w:val="000301D6"/>
    <w:rsid w:val="0005543A"/>
    <w:rsid w:val="00073CB8"/>
    <w:rsid w:val="00097D1B"/>
    <w:rsid w:val="000A006B"/>
    <w:rsid w:val="000A51AD"/>
    <w:rsid w:val="000A7AA7"/>
    <w:rsid w:val="000C7F49"/>
    <w:rsid w:val="000F2284"/>
    <w:rsid w:val="000F4541"/>
    <w:rsid w:val="00120A54"/>
    <w:rsid w:val="001250C7"/>
    <w:rsid w:val="00143613"/>
    <w:rsid w:val="001623EF"/>
    <w:rsid w:val="001A1932"/>
    <w:rsid w:val="001C2495"/>
    <w:rsid w:val="00207194"/>
    <w:rsid w:val="00245172"/>
    <w:rsid w:val="00252548"/>
    <w:rsid w:val="002618C5"/>
    <w:rsid w:val="00273563"/>
    <w:rsid w:val="002847C5"/>
    <w:rsid w:val="002A7226"/>
    <w:rsid w:val="002E3594"/>
    <w:rsid w:val="003137C1"/>
    <w:rsid w:val="00316E23"/>
    <w:rsid w:val="003272BF"/>
    <w:rsid w:val="0034397C"/>
    <w:rsid w:val="00351BE1"/>
    <w:rsid w:val="00353FE7"/>
    <w:rsid w:val="00355F41"/>
    <w:rsid w:val="00395DA1"/>
    <w:rsid w:val="003C3BBB"/>
    <w:rsid w:val="003D4447"/>
    <w:rsid w:val="003E2111"/>
    <w:rsid w:val="004073D1"/>
    <w:rsid w:val="00437216"/>
    <w:rsid w:val="00454F9F"/>
    <w:rsid w:val="0047333C"/>
    <w:rsid w:val="00497AD5"/>
    <w:rsid w:val="004A3866"/>
    <w:rsid w:val="004B5100"/>
    <w:rsid w:val="004E5ECD"/>
    <w:rsid w:val="004F5898"/>
    <w:rsid w:val="00502508"/>
    <w:rsid w:val="00532FF4"/>
    <w:rsid w:val="005438FE"/>
    <w:rsid w:val="00550B90"/>
    <w:rsid w:val="00561503"/>
    <w:rsid w:val="00585341"/>
    <w:rsid w:val="005A7208"/>
    <w:rsid w:val="005B7BB8"/>
    <w:rsid w:val="005C6FB0"/>
    <w:rsid w:val="00610EDF"/>
    <w:rsid w:val="0062065C"/>
    <w:rsid w:val="006451DF"/>
    <w:rsid w:val="00664165"/>
    <w:rsid w:val="006B280C"/>
    <w:rsid w:val="006D22CE"/>
    <w:rsid w:val="006F1248"/>
    <w:rsid w:val="00726E69"/>
    <w:rsid w:val="00732A04"/>
    <w:rsid w:val="007440AE"/>
    <w:rsid w:val="00750D19"/>
    <w:rsid w:val="00752257"/>
    <w:rsid w:val="00765945"/>
    <w:rsid w:val="00774C5D"/>
    <w:rsid w:val="007937C9"/>
    <w:rsid w:val="007B1681"/>
    <w:rsid w:val="007B270A"/>
    <w:rsid w:val="007D0DCE"/>
    <w:rsid w:val="00820157"/>
    <w:rsid w:val="00826951"/>
    <w:rsid w:val="008423FF"/>
    <w:rsid w:val="00846975"/>
    <w:rsid w:val="008752D4"/>
    <w:rsid w:val="008E0F15"/>
    <w:rsid w:val="008E34AA"/>
    <w:rsid w:val="009432E3"/>
    <w:rsid w:val="00971597"/>
    <w:rsid w:val="009747E5"/>
    <w:rsid w:val="009908BF"/>
    <w:rsid w:val="00994B8F"/>
    <w:rsid w:val="009A5A1E"/>
    <w:rsid w:val="009D6D5A"/>
    <w:rsid w:val="009F6CC5"/>
    <w:rsid w:val="00AB0865"/>
    <w:rsid w:val="00AC3AAE"/>
    <w:rsid w:val="00AD2778"/>
    <w:rsid w:val="00AE231A"/>
    <w:rsid w:val="00AF6A3B"/>
    <w:rsid w:val="00AF7106"/>
    <w:rsid w:val="00B11130"/>
    <w:rsid w:val="00B353B0"/>
    <w:rsid w:val="00B5376A"/>
    <w:rsid w:val="00B54A91"/>
    <w:rsid w:val="00B54BE8"/>
    <w:rsid w:val="00BC462F"/>
    <w:rsid w:val="00BE2220"/>
    <w:rsid w:val="00BF4DBC"/>
    <w:rsid w:val="00C22EF7"/>
    <w:rsid w:val="00C47699"/>
    <w:rsid w:val="00C62F99"/>
    <w:rsid w:val="00C930D0"/>
    <w:rsid w:val="00CD0137"/>
    <w:rsid w:val="00CD0684"/>
    <w:rsid w:val="00CD5C46"/>
    <w:rsid w:val="00CE7704"/>
    <w:rsid w:val="00D048C3"/>
    <w:rsid w:val="00D5032B"/>
    <w:rsid w:val="00D57379"/>
    <w:rsid w:val="00D87B7E"/>
    <w:rsid w:val="00DA6084"/>
    <w:rsid w:val="00DC0CCF"/>
    <w:rsid w:val="00DC1FA1"/>
    <w:rsid w:val="00DC7889"/>
    <w:rsid w:val="00DD1850"/>
    <w:rsid w:val="00E007A0"/>
    <w:rsid w:val="00E15DD2"/>
    <w:rsid w:val="00E34E4A"/>
    <w:rsid w:val="00E71778"/>
    <w:rsid w:val="00E7553C"/>
    <w:rsid w:val="00E757A1"/>
    <w:rsid w:val="00EB1851"/>
    <w:rsid w:val="00ED5635"/>
    <w:rsid w:val="00EE5899"/>
    <w:rsid w:val="00EF4509"/>
    <w:rsid w:val="00F204FC"/>
    <w:rsid w:val="00F2245C"/>
    <w:rsid w:val="00F62257"/>
    <w:rsid w:val="00F84A1B"/>
    <w:rsid w:val="00FB15A9"/>
    <w:rsid w:val="00FB789F"/>
    <w:rsid w:val="00FC1B17"/>
    <w:rsid w:val="00FC5899"/>
    <w:rsid w:val="00FD635F"/>
    <w:rsid w:val="013E4434"/>
    <w:rsid w:val="018A7679"/>
    <w:rsid w:val="01B6221C"/>
    <w:rsid w:val="01BA61B0"/>
    <w:rsid w:val="01EE57A2"/>
    <w:rsid w:val="0261487E"/>
    <w:rsid w:val="02C62933"/>
    <w:rsid w:val="02EE3C38"/>
    <w:rsid w:val="03CA49AC"/>
    <w:rsid w:val="03DF1EFE"/>
    <w:rsid w:val="03E2379C"/>
    <w:rsid w:val="048F73BD"/>
    <w:rsid w:val="049C47B9"/>
    <w:rsid w:val="04E20EEF"/>
    <w:rsid w:val="052D4EEB"/>
    <w:rsid w:val="053C1208"/>
    <w:rsid w:val="054162A1"/>
    <w:rsid w:val="05542478"/>
    <w:rsid w:val="05DE1B0F"/>
    <w:rsid w:val="062C51A3"/>
    <w:rsid w:val="064F1B24"/>
    <w:rsid w:val="066A0B88"/>
    <w:rsid w:val="06C95B3E"/>
    <w:rsid w:val="06D870D9"/>
    <w:rsid w:val="06DD649D"/>
    <w:rsid w:val="06FF77C9"/>
    <w:rsid w:val="075446F4"/>
    <w:rsid w:val="07724E37"/>
    <w:rsid w:val="07935DE5"/>
    <w:rsid w:val="079E23D5"/>
    <w:rsid w:val="07F20611"/>
    <w:rsid w:val="083D3697"/>
    <w:rsid w:val="0883308A"/>
    <w:rsid w:val="08A45525"/>
    <w:rsid w:val="091837BC"/>
    <w:rsid w:val="093F1377"/>
    <w:rsid w:val="094E7C8D"/>
    <w:rsid w:val="095A2027"/>
    <w:rsid w:val="095F118F"/>
    <w:rsid w:val="09C0632E"/>
    <w:rsid w:val="09FD1E6C"/>
    <w:rsid w:val="0A1B68A9"/>
    <w:rsid w:val="0A3A3B56"/>
    <w:rsid w:val="0A591B0F"/>
    <w:rsid w:val="0A71587A"/>
    <w:rsid w:val="0A726EFC"/>
    <w:rsid w:val="0A771BD9"/>
    <w:rsid w:val="0AEC0519"/>
    <w:rsid w:val="0B275E2E"/>
    <w:rsid w:val="0B674587"/>
    <w:rsid w:val="0C3E60D7"/>
    <w:rsid w:val="0C401BE4"/>
    <w:rsid w:val="0C8D6202"/>
    <w:rsid w:val="0CF84031"/>
    <w:rsid w:val="0D1F15BD"/>
    <w:rsid w:val="0D322001"/>
    <w:rsid w:val="0DE46363"/>
    <w:rsid w:val="0E153DA3"/>
    <w:rsid w:val="0E364E11"/>
    <w:rsid w:val="0E587B4E"/>
    <w:rsid w:val="0E5D3369"/>
    <w:rsid w:val="0E9C279A"/>
    <w:rsid w:val="0EE3661B"/>
    <w:rsid w:val="0F7718EE"/>
    <w:rsid w:val="0FF5401D"/>
    <w:rsid w:val="0FF567AC"/>
    <w:rsid w:val="10073E71"/>
    <w:rsid w:val="10806854"/>
    <w:rsid w:val="10A65B52"/>
    <w:rsid w:val="10D10367"/>
    <w:rsid w:val="10F22BD1"/>
    <w:rsid w:val="11217725"/>
    <w:rsid w:val="11847C41"/>
    <w:rsid w:val="11ED1CC8"/>
    <w:rsid w:val="122249CB"/>
    <w:rsid w:val="12F17558"/>
    <w:rsid w:val="13002FD0"/>
    <w:rsid w:val="13174AE5"/>
    <w:rsid w:val="131E2317"/>
    <w:rsid w:val="1383085E"/>
    <w:rsid w:val="13A66595"/>
    <w:rsid w:val="13CF55A9"/>
    <w:rsid w:val="146E387D"/>
    <w:rsid w:val="14824D8C"/>
    <w:rsid w:val="15467F42"/>
    <w:rsid w:val="154F518F"/>
    <w:rsid w:val="160E09D3"/>
    <w:rsid w:val="162F51CB"/>
    <w:rsid w:val="17410A1F"/>
    <w:rsid w:val="17CA1C59"/>
    <w:rsid w:val="17FE4324"/>
    <w:rsid w:val="181066D2"/>
    <w:rsid w:val="181120D6"/>
    <w:rsid w:val="18D85F30"/>
    <w:rsid w:val="19353F17"/>
    <w:rsid w:val="19817770"/>
    <w:rsid w:val="19E35721"/>
    <w:rsid w:val="1A281421"/>
    <w:rsid w:val="1A434CBA"/>
    <w:rsid w:val="1AC11F06"/>
    <w:rsid w:val="1B1F539D"/>
    <w:rsid w:val="1B4E306E"/>
    <w:rsid w:val="1B6A434C"/>
    <w:rsid w:val="1B6A71E9"/>
    <w:rsid w:val="1BC93122"/>
    <w:rsid w:val="1BFE4A94"/>
    <w:rsid w:val="1C536B8E"/>
    <w:rsid w:val="1C6B037B"/>
    <w:rsid w:val="1C7134B8"/>
    <w:rsid w:val="1CBB2985"/>
    <w:rsid w:val="1CD072E0"/>
    <w:rsid w:val="1D150E3B"/>
    <w:rsid w:val="1D1722B1"/>
    <w:rsid w:val="1D291DE4"/>
    <w:rsid w:val="1D350989"/>
    <w:rsid w:val="1D3E38F3"/>
    <w:rsid w:val="1D56725D"/>
    <w:rsid w:val="1D5D053C"/>
    <w:rsid w:val="1DB6160A"/>
    <w:rsid w:val="1DD24405"/>
    <w:rsid w:val="1DF3687A"/>
    <w:rsid w:val="1E2F53D8"/>
    <w:rsid w:val="1E79713E"/>
    <w:rsid w:val="1E8A1B20"/>
    <w:rsid w:val="1EA91371"/>
    <w:rsid w:val="1ED3045A"/>
    <w:rsid w:val="1ED85A70"/>
    <w:rsid w:val="1EDC28A2"/>
    <w:rsid w:val="1EFA3C38"/>
    <w:rsid w:val="1F8E59B8"/>
    <w:rsid w:val="1F971487"/>
    <w:rsid w:val="1FAF4A23"/>
    <w:rsid w:val="20051AF6"/>
    <w:rsid w:val="20146634"/>
    <w:rsid w:val="203D202F"/>
    <w:rsid w:val="20436F19"/>
    <w:rsid w:val="20565B93"/>
    <w:rsid w:val="20880494"/>
    <w:rsid w:val="20C40DC8"/>
    <w:rsid w:val="21867A05"/>
    <w:rsid w:val="21B22755"/>
    <w:rsid w:val="227855A0"/>
    <w:rsid w:val="2280647E"/>
    <w:rsid w:val="23250B58"/>
    <w:rsid w:val="237827E2"/>
    <w:rsid w:val="245401F5"/>
    <w:rsid w:val="247262AC"/>
    <w:rsid w:val="25473008"/>
    <w:rsid w:val="25E61ABD"/>
    <w:rsid w:val="25FE795C"/>
    <w:rsid w:val="261A071C"/>
    <w:rsid w:val="26240607"/>
    <w:rsid w:val="267E48E0"/>
    <w:rsid w:val="26F15921"/>
    <w:rsid w:val="2710526A"/>
    <w:rsid w:val="278C73F8"/>
    <w:rsid w:val="279544FE"/>
    <w:rsid w:val="27B56B64"/>
    <w:rsid w:val="27D20C6C"/>
    <w:rsid w:val="27D56FF1"/>
    <w:rsid w:val="284303FE"/>
    <w:rsid w:val="288512E3"/>
    <w:rsid w:val="28E374EB"/>
    <w:rsid w:val="28EA2628"/>
    <w:rsid w:val="297168A5"/>
    <w:rsid w:val="29745D65"/>
    <w:rsid w:val="2A4A348B"/>
    <w:rsid w:val="2A8C323E"/>
    <w:rsid w:val="2B0265E6"/>
    <w:rsid w:val="2B5C5EEE"/>
    <w:rsid w:val="2BCB4E98"/>
    <w:rsid w:val="2C5E7F47"/>
    <w:rsid w:val="2CB5585C"/>
    <w:rsid w:val="2CBA0563"/>
    <w:rsid w:val="2D366A6F"/>
    <w:rsid w:val="2D40315E"/>
    <w:rsid w:val="2D882A47"/>
    <w:rsid w:val="2D8F7C42"/>
    <w:rsid w:val="2DD97EF2"/>
    <w:rsid w:val="2EBF00B3"/>
    <w:rsid w:val="2ED753FC"/>
    <w:rsid w:val="2F221578"/>
    <w:rsid w:val="2F345883"/>
    <w:rsid w:val="2F5C45F3"/>
    <w:rsid w:val="2F6A5B84"/>
    <w:rsid w:val="2F6F1AD9"/>
    <w:rsid w:val="2F847D90"/>
    <w:rsid w:val="2F971030"/>
    <w:rsid w:val="2FA131B3"/>
    <w:rsid w:val="2FC55444"/>
    <w:rsid w:val="2FE77CA5"/>
    <w:rsid w:val="300A40DF"/>
    <w:rsid w:val="302A706D"/>
    <w:rsid w:val="30BA3228"/>
    <w:rsid w:val="30CA49BB"/>
    <w:rsid w:val="30D30CAF"/>
    <w:rsid w:val="30D360A1"/>
    <w:rsid w:val="31387904"/>
    <w:rsid w:val="31464ABB"/>
    <w:rsid w:val="317A58D3"/>
    <w:rsid w:val="319E48F7"/>
    <w:rsid w:val="31B5579D"/>
    <w:rsid w:val="31BA18DC"/>
    <w:rsid w:val="31CB3FF4"/>
    <w:rsid w:val="32496611"/>
    <w:rsid w:val="327A2EC3"/>
    <w:rsid w:val="32D9152B"/>
    <w:rsid w:val="337C2A16"/>
    <w:rsid w:val="339733AC"/>
    <w:rsid w:val="33D12D62"/>
    <w:rsid w:val="34161CCE"/>
    <w:rsid w:val="342D3D10"/>
    <w:rsid w:val="344F012B"/>
    <w:rsid w:val="34C603ED"/>
    <w:rsid w:val="357F7587"/>
    <w:rsid w:val="360867E3"/>
    <w:rsid w:val="360C62D3"/>
    <w:rsid w:val="36AE738B"/>
    <w:rsid w:val="36BC2EBB"/>
    <w:rsid w:val="36F31241"/>
    <w:rsid w:val="36FD79CA"/>
    <w:rsid w:val="37B77C9D"/>
    <w:rsid w:val="37CA182F"/>
    <w:rsid w:val="37F012DD"/>
    <w:rsid w:val="37F94635"/>
    <w:rsid w:val="38044D88"/>
    <w:rsid w:val="3851053D"/>
    <w:rsid w:val="38B106A5"/>
    <w:rsid w:val="38FF40CB"/>
    <w:rsid w:val="39203E44"/>
    <w:rsid w:val="393B0C7E"/>
    <w:rsid w:val="39641F82"/>
    <w:rsid w:val="398C14D9"/>
    <w:rsid w:val="39AA205C"/>
    <w:rsid w:val="39E3067B"/>
    <w:rsid w:val="39F72DF7"/>
    <w:rsid w:val="3A12378C"/>
    <w:rsid w:val="3A8701C3"/>
    <w:rsid w:val="3AB24F6F"/>
    <w:rsid w:val="3AC865AB"/>
    <w:rsid w:val="3B3B6D13"/>
    <w:rsid w:val="3B420CBF"/>
    <w:rsid w:val="3B6105F3"/>
    <w:rsid w:val="3B722109"/>
    <w:rsid w:val="3BB5641E"/>
    <w:rsid w:val="3BCD19E7"/>
    <w:rsid w:val="3C0D6901"/>
    <w:rsid w:val="3C3532C4"/>
    <w:rsid w:val="3C4C2E7D"/>
    <w:rsid w:val="3C59038E"/>
    <w:rsid w:val="3C97441D"/>
    <w:rsid w:val="3CD1792F"/>
    <w:rsid w:val="3CD56D2C"/>
    <w:rsid w:val="3CDE029E"/>
    <w:rsid w:val="3CE07B72"/>
    <w:rsid w:val="3DD91979"/>
    <w:rsid w:val="3DFA2EB5"/>
    <w:rsid w:val="3E120E3F"/>
    <w:rsid w:val="3E810EE1"/>
    <w:rsid w:val="3E8E193B"/>
    <w:rsid w:val="3F185CE9"/>
    <w:rsid w:val="3F372B8B"/>
    <w:rsid w:val="3F421A6A"/>
    <w:rsid w:val="3F8B522F"/>
    <w:rsid w:val="3FB44944"/>
    <w:rsid w:val="401F4E55"/>
    <w:rsid w:val="407717EE"/>
    <w:rsid w:val="40786455"/>
    <w:rsid w:val="408F454C"/>
    <w:rsid w:val="40972C3D"/>
    <w:rsid w:val="40EA7211"/>
    <w:rsid w:val="411C7623"/>
    <w:rsid w:val="41390401"/>
    <w:rsid w:val="414D0D96"/>
    <w:rsid w:val="41A25D3E"/>
    <w:rsid w:val="41BF598A"/>
    <w:rsid w:val="42177421"/>
    <w:rsid w:val="423B0BF5"/>
    <w:rsid w:val="42C10446"/>
    <w:rsid w:val="42CE66BF"/>
    <w:rsid w:val="42D0395A"/>
    <w:rsid w:val="43746A26"/>
    <w:rsid w:val="439D67BD"/>
    <w:rsid w:val="43B21B3C"/>
    <w:rsid w:val="43F247C7"/>
    <w:rsid w:val="440F208E"/>
    <w:rsid w:val="441828E9"/>
    <w:rsid w:val="442A3767"/>
    <w:rsid w:val="445F1CC4"/>
    <w:rsid w:val="44E126D9"/>
    <w:rsid w:val="45813EBC"/>
    <w:rsid w:val="45943BEF"/>
    <w:rsid w:val="45A2455E"/>
    <w:rsid w:val="45A3028B"/>
    <w:rsid w:val="45AD11A2"/>
    <w:rsid w:val="45AD6A5F"/>
    <w:rsid w:val="45BE6A33"/>
    <w:rsid w:val="461B60BF"/>
    <w:rsid w:val="46285AF2"/>
    <w:rsid w:val="462A6ED5"/>
    <w:rsid w:val="463358F0"/>
    <w:rsid w:val="470701A9"/>
    <w:rsid w:val="475E44B5"/>
    <w:rsid w:val="47961EA1"/>
    <w:rsid w:val="47E56984"/>
    <w:rsid w:val="47E86474"/>
    <w:rsid w:val="480E3F81"/>
    <w:rsid w:val="489D100D"/>
    <w:rsid w:val="490966A2"/>
    <w:rsid w:val="49230B69"/>
    <w:rsid w:val="49331971"/>
    <w:rsid w:val="49563C70"/>
    <w:rsid w:val="49667651"/>
    <w:rsid w:val="49697141"/>
    <w:rsid w:val="4A1C00CA"/>
    <w:rsid w:val="4A510301"/>
    <w:rsid w:val="4A600360"/>
    <w:rsid w:val="4A6218F1"/>
    <w:rsid w:val="4A7602CE"/>
    <w:rsid w:val="4B3F18B5"/>
    <w:rsid w:val="4B7F49FA"/>
    <w:rsid w:val="4B9D17CD"/>
    <w:rsid w:val="4BA95F1B"/>
    <w:rsid w:val="4BB328F5"/>
    <w:rsid w:val="4C6065D9"/>
    <w:rsid w:val="4C9C22F1"/>
    <w:rsid w:val="4D884E60"/>
    <w:rsid w:val="4D9D186C"/>
    <w:rsid w:val="4E092CA1"/>
    <w:rsid w:val="4E3B329E"/>
    <w:rsid w:val="4E8A2033"/>
    <w:rsid w:val="4EF74085"/>
    <w:rsid w:val="4F432ED1"/>
    <w:rsid w:val="4F440434"/>
    <w:rsid w:val="4F50357C"/>
    <w:rsid w:val="4FFA1C27"/>
    <w:rsid w:val="503C55AF"/>
    <w:rsid w:val="5042649F"/>
    <w:rsid w:val="50940F47"/>
    <w:rsid w:val="50AD2009"/>
    <w:rsid w:val="51154F67"/>
    <w:rsid w:val="51256043"/>
    <w:rsid w:val="51C068B1"/>
    <w:rsid w:val="534A3B3F"/>
    <w:rsid w:val="53536E98"/>
    <w:rsid w:val="53A87D15"/>
    <w:rsid w:val="5446527B"/>
    <w:rsid w:val="544858DA"/>
    <w:rsid w:val="54752E3E"/>
    <w:rsid w:val="55160115"/>
    <w:rsid w:val="55B6370E"/>
    <w:rsid w:val="55FA7A9F"/>
    <w:rsid w:val="569C27CE"/>
    <w:rsid w:val="56B51C18"/>
    <w:rsid w:val="56C87B9D"/>
    <w:rsid w:val="56F20776"/>
    <w:rsid w:val="570F4661"/>
    <w:rsid w:val="57342B3C"/>
    <w:rsid w:val="578F5F33"/>
    <w:rsid w:val="58777B12"/>
    <w:rsid w:val="59036869"/>
    <w:rsid w:val="59633E56"/>
    <w:rsid w:val="59795FBB"/>
    <w:rsid w:val="5A71775D"/>
    <w:rsid w:val="5A7F51D5"/>
    <w:rsid w:val="5A8E79AB"/>
    <w:rsid w:val="5AEE7829"/>
    <w:rsid w:val="5B0E18F6"/>
    <w:rsid w:val="5B1F58B2"/>
    <w:rsid w:val="5B757E56"/>
    <w:rsid w:val="5BBE156E"/>
    <w:rsid w:val="5BEB03FB"/>
    <w:rsid w:val="5C4A13E4"/>
    <w:rsid w:val="5C877BB2"/>
    <w:rsid w:val="5CCC1A69"/>
    <w:rsid w:val="5D251259"/>
    <w:rsid w:val="5DB6074F"/>
    <w:rsid w:val="5DBE356C"/>
    <w:rsid w:val="5DF06E6A"/>
    <w:rsid w:val="5E1C56A1"/>
    <w:rsid w:val="5EBD3D5F"/>
    <w:rsid w:val="5F571ABE"/>
    <w:rsid w:val="5F5D43F2"/>
    <w:rsid w:val="5F622211"/>
    <w:rsid w:val="60D44B41"/>
    <w:rsid w:val="60E27AAD"/>
    <w:rsid w:val="612E2CF2"/>
    <w:rsid w:val="61686204"/>
    <w:rsid w:val="618F76C6"/>
    <w:rsid w:val="61A927EA"/>
    <w:rsid w:val="62516C98"/>
    <w:rsid w:val="62642148"/>
    <w:rsid w:val="629E17B2"/>
    <w:rsid w:val="62D544B2"/>
    <w:rsid w:val="63220635"/>
    <w:rsid w:val="638F719E"/>
    <w:rsid w:val="63B407D0"/>
    <w:rsid w:val="63D955C4"/>
    <w:rsid w:val="63DA7060"/>
    <w:rsid w:val="64071807"/>
    <w:rsid w:val="64136A41"/>
    <w:rsid w:val="641F0E7D"/>
    <w:rsid w:val="6424218B"/>
    <w:rsid w:val="64504D2E"/>
    <w:rsid w:val="64552344"/>
    <w:rsid w:val="64857562"/>
    <w:rsid w:val="64897A55"/>
    <w:rsid w:val="64A8659A"/>
    <w:rsid w:val="64B326E9"/>
    <w:rsid w:val="64D4770D"/>
    <w:rsid w:val="64D72050"/>
    <w:rsid w:val="64F61D79"/>
    <w:rsid w:val="64FF32E0"/>
    <w:rsid w:val="6509385A"/>
    <w:rsid w:val="66307F24"/>
    <w:rsid w:val="663C5009"/>
    <w:rsid w:val="664F3FC7"/>
    <w:rsid w:val="666703E6"/>
    <w:rsid w:val="66867C11"/>
    <w:rsid w:val="66E63727"/>
    <w:rsid w:val="66E97CE4"/>
    <w:rsid w:val="678B65CE"/>
    <w:rsid w:val="67994E9D"/>
    <w:rsid w:val="679A4C3E"/>
    <w:rsid w:val="67D143D7"/>
    <w:rsid w:val="684F5A1C"/>
    <w:rsid w:val="68D504DA"/>
    <w:rsid w:val="690D2406"/>
    <w:rsid w:val="692A37F7"/>
    <w:rsid w:val="69474951"/>
    <w:rsid w:val="699658D9"/>
    <w:rsid w:val="69E45AFA"/>
    <w:rsid w:val="6A503CD9"/>
    <w:rsid w:val="6A8725B1"/>
    <w:rsid w:val="6B0A032C"/>
    <w:rsid w:val="6B773977"/>
    <w:rsid w:val="6B8C0D18"/>
    <w:rsid w:val="6BF07522"/>
    <w:rsid w:val="6C316B4C"/>
    <w:rsid w:val="6CD45B92"/>
    <w:rsid w:val="6CF85B3A"/>
    <w:rsid w:val="6CF92406"/>
    <w:rsid w:val="6D4318D3"/>
    <w:rsid w:val="6D59021E"/>
    <w:rsid w:val="6D594A7A"/>
    <w:rsid w:val="6E9357AB"/>
    <w:rsid w:val="6EA27A4F"/>
    <w:rsid w:val="6EFE3D04"/>
    <w:rsid w:val="6FAC19B2"/>
    <w:rsid w:val="6FB32D1E"/>
    <w:rsid w:val="70330A68"/>
    <w:rsid w:val="705D278A"/>
    <w:rsid w:val="70710506"/>
    <w:rsid w:val="707C313D"/>
    <w:rsid w:val="708A15C7"/>
    <w:rsid w:val="7098185A"/>
    <w:rsid w:val="71245578"/>
    <w:rsid w:val="71453E6C"/>
    <w:rsid w:val="71C14D45"/>
    <w:rsid w:val="71D15351"/>
    <w:rsid w:val="71D22F89"/>
    <w:rsid w:val="71EB0819"/>
    <w:rsid w:val="721A502E"/>
    <w:rsid w:val="721B2E1F"/>
    <w:rsid w:val="72591B50"/>
    <w:rsid w:val="727A7B45"/>
    <w:rsid w:val="72872D3A"/>
    <w:rsid w:val="7294672D"/>
    <w:rsid w:val="72D80D10"/>
    <w:rsid w:val="72DB2F28"/>
    <w:rsid w:val="730A2CE0"/>
    <w:rsid w:val="7363682B"/>
    <w:rsid w:val="73ED07EB"/>
    <w:rsid w:val="742E508B"/>
    <w:rsid w:val="746D116A"/>
    <w:rsid w:val="75324707"/>
    <w:rsid w:val="755A48E2"/>
    <w:rsid w:val="75EA4FE2"/>
    <w:rsid w:val="764C0AF3"/>
    <w:rsid w:val="765B7C8E"/>
    <w:rsid w:val="76DC1088"/>
    <w:rsid w:val="76EC29FD"/>
    <w:rsid w:val="76FE0619"/>
    <w:rsid w:val="77275831"/>
    <w:rsid w:val="77B17623"/>
    <w:rsid w:val="77CF39A0"/>
    <w:rsid w:val="77DB48EE"/>
    <w:rsid w:val="77F263D0"/>
    <w:rsid w:val="77FE1B9F"/>
    <w:rsid w:val="7860158C"/>
    <w:rsid w:val="78783522"/>
    <w:rsid w:val="789D27E0"/>
    <w:rsid w:val="78B348B4"/>
    <w:rsid w:val="79116D2A"/>
    <w:rsid w:val="799C7E29"/>
    <w:rsid w:val="79D00993"/>
    <w:rsid w:val="7A3902E6"/>
    <w:rsid w:val="7A3E58FC"/>
    <w:rsid w:val="7A401675"/>
    <w:rsid w:val="7A6D7F90"/>
    <w:rsid w:val="7A85766A"/>
    <w:rsid w:val="7A882894"/>
    <w:rsid w:val="7AC2652D"/>
    <w:rsid w:val="7AF64429"/>
    <w:rsid w:val="7B1B0694"/>
    <w:rsid w:val="7B20429A"/>
    <w:rsid w:val="7B813267"/>
    <w:rsid w:val="7BD52290"/>
    <w:rsid w:val="7CD479E4"/>
    <w:rsid w:val="7D1307C6"/>
    <w:rsid w:val="7DE06CCB"/>
    <w:rsid w:val="7E755665"/>
    <w:rsid w:val="7E922B3D"/>
    <w:rsid w:val="7EB720F7"/>
    <w:rsid w:val="7F563B99"/>
    <w:rsid w:val="7F7A1433"/>
    <w:rsid w:val="7FA501CC"/>
    <w:rsid w:val="7FB142DF"/>
    <w:rsid w:val="7FE346EA"/>
    <w:rsid w:val="7FF8479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4"/>
      <w:szCs w:val="24"/>
      <w:lang w:val="en-US" w:eastAsia="zh-CN" w:bidi="ar-SA"/>
    </w:rPr>
  </w:style>
  <w:style w:type="paragraph" w:styleId="3">
    <w:name w:val="heading 1"/>
    <w:basedOn w:val="1"/>
    <w:next w:val="1"/>
    <w:link w:val="50"/>
    <w:qFormat/>
    <w:uiPriority w:val="0"/>
    <w:pPr>
      <w:keepNext/>
      <w:keepLines/>
      <w:spacing w:before="480" w:after="200"/>
      <w:outlineLvl w:val="0"/>
    </w:pPr>
    <w:rPr>
      <w:rFonts w:ascii="Arial" w:hAnsi="Arial" w:eastAsia="Arial" w:cs="Arial"/>
      <w:sz w:val="40"/>
      <w:szCs w:val="40"/>
    </w:rPr>
  </w:style>
  <w:style w:type="paragraph" w:styleId="4">
    <w:name w:val="heading 2"/>
    <w:basedOn w:val="1"/>
    <w:next w:val="5"/>
    <w:link w:val="51"/>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4"/>
    <w:unhideWhenUsed/>
    <w:qFormat/>
    <w:uiPriority w:val="9"/>
    <w:pPr>
      <w:keepNext/>
      <w:keepLines/>
      <w:spacing w:before="320" w:after="200"/>
      <w:outlineLvl w:val="4"/>
    </w:pPr>
    <w:rPr>
      <w:rFonts w:ascii="Arial" w:hAnsi="Arial" w:eastAsia="Arial" w:cs="Arial"/>
      <w:b/>
      <w:bCs/>
    </w:rPr>
  </w:style>
  <w:style w:type="paragraph" w:styleId="8">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1"/>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semiHidden/>
    <w:qFormat/>
    <w:uiPriority w:val="99"/>
    <w:rPr>
      <w:rFonts w:ascii="宋体"/>
      <w:sz w:val="18"/>
      <w:szCs w:val="18"/>
    </w:rPr>
  </w:style>
  <w:style w:type="paragraph" w:styleId="15">
    <w:name w:val="annotation text"/>
    <w:basedOn w:val="1"/>
    <w:link w:val="230"/>
    <w:semiHidden/>
    <w:qFormat/>
    <w:uiPriority w:val="99"/>
    <w:pPr>
      <w:jc w:val="left"/>
    </w:pPr>
  </w:style>
  <w:style w:type="paragraph" w:styleId="16">
    <w:name w:val="Body Text"/>
    <w:basedOn w:val="1"/>
    <w:next w:val="17"/>
    <w:qFormat/>
    <w:uiPriority w:val="99"/>
    <w:pPr>
      <w:spacing w:after="120"/>
    </w:pPr>
  </w:style>
  <w:style w:type="paragraph" w:styleId="17">
    <w:name w:val="toc 2"/>
    <w:basedOn w:val="1"/>
    <w:next w:val="1"/>
    <w:unhideWhenUsed/>
    <w:qFormat/>
    <w:uiPriority w:val="39"/>
    <w:pPr>
      <w:spacing w:after="57"/>
      <w:ind w:left="283"/>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196"/>
    <w:semiHidden/>
    <w:unhideWhenUsed/>
    <w:qFormat/>
    <w:uiPriority w:val="99"/>
    <w:rPr>
      <w:sz w:val="20"/>
    </w:rPr>
  </w:style>
  <w:style w:type="paragraph" w:styleId="22">
    <w:name w:val="Balloon Text"/>
    <w:basedOn w:val="1"/>
    <w:link w:val="229"/>
    <w:semiHidden/>
    <w:unhideWhenUsed/>
    <w:qFormat/>
    <w:uiPriority w:val="99"/>
    <w:rPr>
      <w:sz w:val="18"/>
      <w:szCs w:val="18"/>
    </w:rPr>
  </w:style>
  <w:style w:type="paragraph" w:styleId="23">
    <w:name w:val="footer"/>
    <w:basedOn w:val="1"/>
    <w:link w:val="69"/>
    <w:unhideWhenUsed/>
    <w:qFormat/>
    <w:uiPriority w:val="99"/>
    <w:pPr>
      <w:tabs>
        <w:tab w:val="center" w:pos="7143"/>
        <w:tab w:val="right" w:pos="14287"/>
      </w:tabs>
    </w:pPr>
  </w:style>
  <w:style w:type="paragraph" w:styleId="24">
    <w:name w:val="header"/>
    <w:basedOn w:val="1"/>
    <w:link w:val="67"/>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62"/>
    <w:qFormat/>
    <w:uiPriority w:val="11"/>
    <w:pPr>
      <w:spacing w:before="200" w:after="200"/>
    </w:pPr>
  </w:style>
  <w:style w:type="paragraph" w:styleId="28">
    <w:name w:val="footnote text"/>
    <w:basedOn w:val="1"/>
    <w:link w:val="195"/>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index 9"/>
    <w:basedOn w:val="1"/>
    <w:next w:val="1"/>
    <w:semiHidden/>
    <w:unhideWhenUsed/>
    <w:qFormat/>
    <w:uiPriority w:val="99"/>
    <w:pPr>
      <w:ind w:left="1600"/>
    </w:pPr>
  </w:style>
  <w:style w:type="paragraph" w:styleId="31">
    <w:name w:val="table of figures"/>
    <w:basedOn w:val="1"/>
    <w:next w:val="1"/>
    <w:unhideWhenUsed/>
    <w:qFormat/>
    <w:uiPriority w:val="99"/>
  </w:style>
  <w:style w:type="paragraph" w:styleId="32">
    <w:name w:val="toc 9"/>
    <w:basedOn w:val="1"/>
    <w:next w:val="1"/>
    <w:unhideWhenUsed/>
    <w:qFormat/>
    <w:uiPriority w:val="39"/>
    <w:pPr>
      <w:spacing w:after="57"/>
      <w:ind w:left="2268"/>
    </w:pPr>
  </w:style>
  <w:style w:type="paragraph" w:styleId="33">
    <w:name w:val="Normal (Web)"/>
    <w:basedOn w:val="1"/>
    <w:semiHidden/>
    <w:unhideWhenUsed/>
    <w:qFormat/>
    <w:uiPriority w:val="99"/>
    <w:pPr>
      <w:jc w:val="left"/>
    </w:pPr>
  </w:style>
  <w:style w:type="paragraph" w:styleId="34">
    <w:name w:val="Title"/>
    <w:basedOn w:val="1"/>
    <w:next w:val="1"/>
    <w:link w:val="61"/>
    <w:qFormat/>
    <w:uiPriority w:val="10"/>
    <w:pPr>
      <w:spacing w:before="300" w:after="200"/>
      <w:contextualSpacing/>
    </w:pPr>
    <w:rPr>
      <w:sz w:val="48"/>
      <w:szCs w:val="48"/>
    </w:rPr>
  </w:style>
  <w:style w:type="paragraph" w:styleId="35">
    <w:name w:val="annotation subject"/>
    <w:basedOn w:val="15"/>
    <w:next w:val="15"/>
    <w:link w:val="231"/>
    <w:semiHidden/>
    <w:unhideWhenUsed/>
    <w:qFormat/>
    <w:uiPriority w:val="99"/>
    <w:rPr>
      <w:b/>
      <w:bCs/>
    </w:rPr>
  </w:style>
  <w:style w:type="paragraph" w:styleId="36">
    <w:name w:val="Body Text First Indent"/>
    <w:basedOn w:val="16"/>
    <w:qFormat/>
    <w:uiPriority w:val="0"/>
    <w:pPr>
      <w:spacing w:line="360" w:lineRule="auto"/>
      <w:ind w:firstLine="200" w:firstLineChars="200"/>
    </w:pPr>
    <w:rPr>
      <w:rFonts w:ascii="仿宋_GB2312" w:hAnsi="Arial" w:eastAsia="仿宋_GB2312"/>
      <w:sz w:val="30"/>
      <w:szCs w:val="30"/>
    </w:rPr>
  </w:style>
  <w:style w:type="table" w:styleId="38">
    <w:name w:val="Table Gri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FollowedHyperlink"/>
    <w:basedOn w:val="39"/>
    <w:semiHidden/>
    <w:unhideWhenUsed/>
    <w:qFormat/>
    <w:uiPriority w:val="99"/>
    <w:rPr>
      <w:color w:val="333333"/>
      <w:u w:val="none"/>
    </w:rPr>
  </w:style>
  <w:style w:type="character" w:styleId="42">
    <w:name w:val="Emphasis"/>
    <w:basedOn w:val="39"/>
    <w:qFormat/>
    <w:uiPriority w:val="20"/>
    <w:rPr>
      <w:i/>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annotation reference"/>
    <w:basedOn w:val="39"/>
    <w:semiHidden/>
    <w:unhideWhenUsed/>
    <w:qFormat/>
    <w:uiPriority w:val="99"/>
    <w:rPr>
      <w:sz w:val="21"/>
      <w:szCs w:val="21"/>
    </w:rPr>
  </w:style>
  <w:style w:type="character" w:styleId="45">
    <w:name w:val="footnote reference"/>
    <w:unhideWhenUsed/>
    <w:qFormat/>
    <w:uiPriority w:val="99"/>
    <w:rPr>
      <w:vertAlign w:val="superscript"/>
    </w:rPr>
  </w:style>
  <w:style w:type="paragraph" w:customStyle="1" w:styleId="46">
    <w:name w:val="标题 31"/>
    <w:basedOn w:val="1"/>
    <w:next w:val="1"/>
    <w:qFormat/>
    <w:uiPriority w:val="0"/>
    <w:pPr>
      <w:numPr>
        <w:ilvl w:val="2"/>
        <w:numId w:val="1"/>
      </w:numPr>
      <w:spacing w:line="300" w:lineRule="auto"/>
      <w:outlineLvl w:val="2"/>
    </w:pPr>
    <w:rPr>
      <w:b/>
      <w:color w:val="000000"/>
      <w:sz w:val="28"/>
    </w:rPr>
  </w:style>
  <w:style w:type="paragraph" w:customStyle="1" w:styleId="47">
    <w:name w:val="正文文本1"/>
    <w:basedOn w:val="1"/>
    <w:next w:val="1"/>
    <w:qFormat/>
    <w:uiPriority w:val="0"/>
    <w:pPr>
      <w:spacing w:after="120"/>
    </w:pPr>
  </w:style>
  <w:style w:type="paragraph" w:customStyle="1" w:styleId="48">
    <w:name w:val="正文首行缩进 21"/>
    <w:basedOn w:val="49"/>
    <w:unhideWhenUsed/>
    <w:qFormat/>
    <w:uiPriority w:val="0"/>
    <w:pPr>
      <w:spacing w:after="0" w:line="360" w:lineRule="auto"/>
      <w:ind w:left="0" w:firstLine="420"/>
    </w:pPr>
    <w:rPr>
      <w:rFonts w:ascii="宋体" w:hAnsi="宋体"/>
      <w:szCs w:val="20"/>
    </w:rPr>
  </w:style>
  <w:style w:type="paragraph" w:customStyle="1" w:styleId="49">
    <w:name w:val="正文文本缩进11"/>
    <w:basedOn w:val="1"/>
    <w:unhideWhenUsed/>
    <w:qFormat/>
    <w:uiPriority w:val="99"/>
    <w:pPr>
      <w:spacing w:after="120"/>
      <w:ind w:left="420"/>
    </w:pPr>
  </w:style>
  <w:style w:type="character" w:customStyle="1" w:styleId="50">
    <w:name w:val="标题 1 字符"/>
    <w:link w:val="3"/>
    <w:qFormat/>
    <w:uiPriority w:val="0"/>
    <w:rPr>
      <w:rFonts w:ascii="Arial" w:hAnsi="Arial" w:eastAsia="Arial" w:cs="Arial"/>
      <w:sz w:val="40"/>
      <w:szCs w:val="40"/>
    </w:rPr>
  </w:style>
  <w:style w:type="character" w:customStyle="1" w:styleId="51">
    <w:name w:val="标题 2 字符"/>
    <w:link w:val="4"/>
    <w:qFormat/>
    <w:uiPriority w:val="9"/>
    <w:rPr>
      <w:rFonts w:ascii="Arial" w:hAnsi="Arial" w:eastAsia="Arial" w:cs="Arial"/>
      <w:sz w:val="34"/>
    </w:rPr>
  </w:style>
  <w:style w:type="character" w:customStyle="1" w:styleId="52">
    <w:name w:val="标题 3 字符"/>
    <w:link w:val="6"/>
    <w:qFormat/>
    <w:uiPriority w:val="9"/>
    <w:rPr>
      <w:rFonts w:ascii="Arial" w:hAnsi="Arial" w:eastAsia="Arial" w:cs="Arial"/>
      <w:sz w:val="30"/>
      <w:szCs w:val="30"/>
    </w:rPr>
  </w:style>
  <w:style w:type="character" w:customStyle="1" w:styleId="53">
    <w:name w:val="标题 4 字符"/>
    <w:link w:val="2"/>
    <w:qFormat/>
    <w:uiPriority w:val="9"/>
    <w:rPr>
      <w:rFonts w:ascii="Arial" w:hAnsi="Arial" w:eastAsia="Arial" w:cs="Arial"/>
      <w:b/>
      <w:bCs/>
      <w:sz w:val="26"/>
      <w:szCs w:val="26"/>
    </w:rPr>
  </w:style>
  <w:style w:type="character" w:customStyle="1" w:styleId="54">
    <w:name w:val="标题 5 字符"/>
    <w:link w:val="7"/>
    <w:qFormat/>
    <w:uiPriority w:val="9"/>
    <w:rPr>
      <w:rFonts w:ascii="Arial" w:hAnsi="Arial" w:eastAsia="Arial" w:cs="Arial"/>
      <w:b/>
      <w:bCs/>
      <w:sz w:val="24"/>
      <w:szCs w:val="24"/>
    </w:rPr>
  </w:style>
  <w:style w:type="character" w:customStyle="1" w:styleId="55">
    <w:name w:val="标题 6 字符"/>
    <w:link w:val="8"/>
    <w:qFormat/>
    <w:uiPriority w:val="9"/>
    <w:rPr>
      <w:rFonts w:ascii="Arial" w:hAnsi="Arial" w:eastAsia="Arial" w:cs="Arial"/>
      <w:b/>
      <w:bCs/>
      <w:sz w:val="22"/>
      <w:szCs w:val="22"/>
    </w:rPr>
  </w:style>
  <w:style w:type="character" w:customStyle="1" w:styleId="56">
    <w:name w:val="标题 7 字符"/>
    <w:link w:val="9"/>
    <w:qFormat/>
    <w:uiPriority w:val="9"/>
    <w:rPr>
      <w:rFonts w:ascii="Arial" w:hAnsi="Arial" w:eastAsia="Arial" w:cs="Arial"/>
      <w:b/>
      <w:bCs/>
      <w:i/>
      <w:iCs/>
      <w:sz w:val="22"/>
      <w:szCs w:val="22"/>
    </w:rPr>
  </w:style>
  <w:style w:type="character" w:customStyle="1" w:styleId="57">
    <w:name w:val="标题 8 字符"/>
    <w:link w:val="10"/>
    <w:qFormat/>
    <w:uiPriority w:val="9"/>
    <w:rPr>
      <w:rFonts w:ascii="Arial" w:hAnsi="Arial" w:eastAsia="Arial" w:cs="Arial"/>
      <w:i/>
      <w:iCs/>
      <w:sz w:val="22"/>
      <w:szCs w:val="22"/>
    </w:rPr>
  </w:style>
  <w:style w:type="character" w:customStyle="1" w:styleId="58">
    <w:name w:val="标题 9 字符"/>
    <w:link w:val="11"/>
    <w:qFormat/>
    <w:uiPriority w:val="9"/>
    <w:rPr>
      <w:rFonts w:ascii="Arial" w:hAnsi="Arial" w:eastAsia="Arial" w:cs="Arial"/>
      <w:i/>
      <w:iCs/>
      <w:sz w:val="21"/>
      <w:szCs w:val="21"/>
    </w:rPr>
  </w:style>
  <w:style w:type="paragraph" w:styleId="59">
    <w:name w:val="List Paragraph"/>
    <w:basedOn w:val="1"/>
    <w:qFormat/>
    <w:uiPriority w:val="34"/>
    <w:pPr>
      <w:ind w:left="720"/>
      <w:contextualSpacing/>
    </w:pPr>
  </w:style>
  <w:style w:type="paragraph" w:styleId="60">
    <w:name w:val="No Spacing"/>
    <w:qFormat/>
    <w:uiPriority w:val="1"/>
    <w:rPr>
      <w:rFonts w:ascii="Calibri" w:hAnsi="Calibri" w:eastAsia="宋体" w:cs="Times New Roman"/>
      <w:lang w:val="en-US" w:eastAsia="zh-CN" w:bidi="ar-SA"/>
    </w:rPr>
  </w:style>
  <w:style w:type="character" w:customStyle="1" w:styleId="61">
    <w:name w:val="标题 字符"/>
    <w:link w:val="34"/>
    <w:qFormat/>
    <w:uiPriority w:val="10"/>
    <w:rPr>
      <w:sz w:val="48"/>
      <w:szCs w:val="48"/>
    </w:rPr>
  </w:style>
  <w:style w:type="character" w:customStyle="1" w:styleId="62">
    <w:name w:val="副标题 字符"/>
    <w:link w:val="27"/>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引用 字符"/>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字符"/>
    <w:link w:val="65"/>
    <w:qFormat/>
    <w:uiPriority w:val="30"/>
    <w:rPr>
      <w:i/>
    </w:rPr>
  </w:style>
  <w:style w:type="character" w:customStyle="1" w:styleId="67">
    <w:name w:val="页眉 字符"/>
    <w:link w:val="24"/>
    <w:qFormat/>
    <w:uiPriority w:val="99"/>
  </w:style>
  <w:style w:type="character" w:customStyle="1" w:styleId="68">
    <w:name w:val="Footer Char"/>
    <w:qFormat/>
    <w:uiPriority w:val="99"/>
  </w:style>
  <w:style w:type="character" w:customStyle="1" w:styleId="69">
    <w:name w:val="页脚 字符"/>
    <w:link w:val="23"/>
    <w:qFormat/>
    <w:uiPriority w:val="99"/>
  </w:style>
  <w:style w:type="table" w:customStyle="1" w:styleId="7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3">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1">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8">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5">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2">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6">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0">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5">
    <w:name w:val="脚注文本 字符"/>
    <w:link w:val="28"/>
    <w:qFormat/>
    <w:uiPriority w:val="99"/>
    <w:rPr>
      <w:sz w:val="18"/>
    </w:rPr>
  </w:style>
  <w:style w:type="character" w:customStyle="1" w:styleId="196">
    <w:name w:val="尾注文本 字符"/>
    <w:link w:val="21"/>
    <w:qFormat/>
    <w:uiPriority w:val="99"/>
    <w:rPr>
      <w:sz w:val="20"/>
    </w:rPr>
  </w:style>
  <w:style w:type="paragraph" w:customStyle="1" w:styleId="197">
    <w:name w:val="TOC 标题1"/>
    <w:unhideWhenUsed/>
    <w:qFormat/>
    <w:uiPriority w:val="39"/>
    <w:rPr>
      <w:rFonts w:ascii="Calibri" w:hAnsi="Calibri" w:eastAsia="宋体" w:cs="Times New Roman"/>
      <w:lang w:val="en-US" w:eastAsia="zh-CN" w:bidi="ar-SA"/>
    </w:rPr>
  </w:style>
  <w:style w:type="paragraph" w:customStyle="1" w:styleId="198">
    <w:name w:val="标题 11"/>
    <w:basedOn w:val="1"/>
    <w:next w:val="1"/>
    <w:link w:val="217"/>
    <w:qFormat/>
    <w:uiPriority w:val="0"/>
    <w:pPr>
      <w:widowControl/>
      <w:spacing w:before="100" w:beforeAutospacing="1" w:after="100" w:afterAutospacing="1" w:line="360" w:lineRule="atLeast"/>
      <w:jc w:val="left"/>
      <w:outlineLvl w:val="0"/>
    </w:pPr>
    <w:rPr>
      <w:rFonts w:ascii="宋体" w:hAnsi="宋体" w:eastAsia="Times New Roman" w:cs="宋体"/>
      <w:b/>
      <w:sz w:val="48"/>
      <w:szCs w:val="20"/>
    </w:rPr>
  </w:style>
  <w:style w:type="character" w:customStyle="1" w:styleId="199">
    <w:name w:val="默认段落字体1"/>
    <w:semiHidden/>
    <w:unhideWhenUsed/>
    <w:qFormat/>
    <w:uiPriority w:val="1"/>
  </w:style>
  <w:style w:type="table" w:customStyle="1" w:styleId="200">
    <w:name w:val="普通表格1"/>
    <w:semiHidden/>
    <w:unhideWhenUsed/>
    <w:qFormat/>
    <w:uiPriority w:val="99"/>
    <w:tblPr>
      <w:tblCellMar>
        <w:top w:w="0" w:type="dxa"/>
        <w:left w:w="0" w:type="dxa"/>
        <w:bottom w:w="0" w:type="dxa"/>
        <w:right w:w="0" w:type="dxa"/>
      </w:tblCellMar>
    </w:tblPr>
  </w:style>
  <w:style w:type="paragraph" w:customStyle="1" w:styleId="201">
    <w:name w:val="文档结构图1"/>
    <w:basedOn w:val="1"/>
    <w:semiHidden/>
    <w:qFormat/>
    <w:uiPriority w:val="99"/>
    <w:pPr>
      <w:shd w:val="clear" w:color="auto" w:fill="000080"/>
    </w:pPr>
    <w:rPr>
      <w:rFonts w:ascii="Calibri" w:hAnsi="Calibri"/>
      <w:szCs w:val="20"/>
    </w:rPr>
  </w:style>
  <w:style w:type="paragraph" w:customStyle="1" w:styleId="202">
    <w:name w:val="批注文字1"/>
    <w:basedOn w:val="1"/>
    <w:semiHidden/>
    <w:qFormat/>
    <w:uiPriority w:val="99"/>
    <w:pPr>
      <w:jc w:val="left"/>
    </w:pPr>
    <w:rPr>
      <w:rFonts w:ascii="Calibri" w:hAnsi="Calibri"/>
      <w:szCs w:val="20"/>
    </w:rPr>
  </w:style>
  <w:style w:type="paragraph" w:customStyle="1" w:styleId="203">
    <w:name w:val="目录 51"/>
    <w:basedOn w:val="1"/>
    <w:next w:val="1"/>
    <w:qFormat/>
    <w:uiPriority w:val="99"/>
    <w:pPr>
      <w:ind w:left="800"/>
    </w:pPr>
    <w:rPr>
      <w:rFonts w:ascii="Calibri" w:hAnsi="Calibri"/>
      <w:szCs w:val="22"/>
    </w:rPr>
  </w:style>
  <w:style w:type="paragraph" w:customStyle="1" w:styleId="204">
    <w:name w:val="页脚1"/>
    <w:basedOn w:val="1"/>
    <w:qFormat/>
    <w:uiPriority w:val="0"/>
    <w:pPr>
      <w:tabs>
        <w:tab w:val="center" w:pos="4153"/>
        <w:tab w:val="right" w:pos="8306"/>
      </w:tabs>
      <w:jc w:val="left"/>
    </w:pPr>
    <w:rPr>
      <w:sz w:val="18"/>
      <w:szCs w:val="18"/>
    </w:rPr>
  </w:style>
  <w:style w:type="paragraph" w:customStyle="1" w:styleId="205">
    <w:name w:val="页眉1"/>
    <w:basedOn w:val="1"/>
    <w:link w:val="223"/>
    <w:qFormat/>
    <w:uiPriority w:val="99"/>
    <w:pPr>
      <w:pBdr>
        <w:bottom w:val="single" w:color="000000" w:sz="6" w:space="1"/>
      </w:pBdr>
      <w:tabs>
        <w:tab w:val="center" w:pos="4153"/>
        <w:tab w:val="right" w:pos="8306"/>
      </w:tabs>
      <w:jc w:val="center"/>
    </w:pPr>
    <w:rPr>
      <w:rFonts w:ascii="Calibri" w:hAnsi="Calibri"/>
      <w:sz w:val="18"/>
      <w:szCs w:val="18"/>
    </w:rPr>
  </w:style>
  <w:style w:type="paragraph" w:customStyle="1" w:styleId="206">
    <w:name w:val="正文文本缩进 31"/>
    <w:basedOn w:val="1"/>
    <w:qFormat/>
    <w:uiPriority w:val="99"/>
    <w:pPr>
      <w:ind w:left="645" w:firstLine="645"/>
    </w:pPr>
    <w:rPr>
      <w:rFonts w:ascii="Arial" w:hAnsi="Arial" w:eastAsia="仿宋_GB2312"/>
      <w:color w:val="FFFF00"/>
      <w:sz w:val="32"/>
      <w:szCs w:val="20"/>
    </w:rPr>
  </w:style>
  <w:style w:type="paragraph" w:customStyle="1" w:styleId="207">
    <w:name w:val="普通(网站)1"/>
    <w:basedOn w:val="1"/>
    <w:unhideWhenUsed/>
    <w:qFormat/>
    <w:uiPriority w:val="99"/>
    <w:pPr>
      <w:spacing w:beforeAutospacing="1" w:afterAutospacing="1"/>
      <w:jc w:val="left"/>
    </w:pPr>
  </w:style>
  <w:style w:type="paragraph" w:customStyle="1" w:styleId="208">
    <w:name w:val="Default"/>
    <w:qFormat/>
    <w:uiPriority w:val="99"/>
    <w:pPr>
      <w:widowControl w:val="0"/>
    </w:pPr>
    <w:rPr>
      <w:rFonts w:ascii="仿宋" w:hAnsi="Times New Roman" w:eastAsia="仿宋" w:cs="仿宋"/>
      <w:color w:val="000000"/>
      <w:sz w:val="24"/>
      <w:szCs w:val="24"/>
      <w:lang w:val="en-US" w:eastAsia="zh-CN" w:bidi="ar-SA"/>
    </w:rPr>
  </w:style>
  <w:style w:type="paragraph" w:customStyle="1" w:styleId="209">
    <w:name w:val="WPS Plain"/>
    <w:qFormat/>
    <w:uiPriority w:val="0"/>
    <w:rPr>
      <w:rFonts w:ascii="Times New Roman" w:hAnsi="Times New Roman" w:eastAsia="宋体" w:cs="Times New Roman"/>
      <w:lang w:val="en-US" w:eastAsia="zh-CN" w:bidi="ar-SA"/>
    </w:rPr>
  </w:style>
  <w:style w:type="paragraph" w:customStyle="1" w:styleId="210">
    <w:name w:val="样式 样式 正文缩进四号ALT+Z段1 Char Char Char段1 Char Char标题4body text鋘d... ...1"/>
    <w:basedOn w:val="1"/>
    <w:qFormat/>
    <w:uiPriority w:val="0"/>
    <w:pPr>
      <w:ind w:firstLine="200"/>
    </w:pPr>
    <w:rPr>
      <w:rFonts w:ascii="宋体" w:hAnsi="宋体"/>
      <w:color w:val="000000"/>
      <w:sz w:val="21"/>
      <w:szCs w:val="20"/>
    </w:rPr>
  </w:style>
  <w:style w:type="paragraph" w:customStyle="1" w:styleId="211">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212">
    <w:name w:val="列出段落1"/>
    <w:basedOn w:val="1"/>
    <w:qFormat/>
    <w:uiPriority w:val="0"/>
    <w:pPr>
      <w:ind w:firstLine="200"/>
    </w:pPr>
    <w:rPr>
      <w:rFonts w:eastAsia="Times New Roman"/>
    </w:rPr>
  </w:style>
  <w:style w:type="character" w:customStyle="1" w:styleId="213">
    <w:name w:val="font11"/>
    <w:qFormat/>
    <w:uiPriority w:val="0"/>
    <w:rPr>
      <w:rFonts w:hint="eastAsia" w:ascii="宋体" w:hAnsi="宋体" w:eastAsia="宋体" w:cs="宋体"/>
      <w:color w:val="000000"/>
      <w:sz w:val="22"/>
      <w:szCs w:val="22"/>
      <w:u w:val="none"/>
    </w:rPr>
  </w:style>
  <w:style w:type="paragraph" w:customStyle="1" w:styleId="214">
    <w:name w:val="目录 31"/>
    <w:basedOn w:val="1"/>
    <w:next w:val="1"/>
    <w:qFormat/>
    <w:uiPriority w:val="0"/>
    <w:pPr>
      <w:ind w:left="840"/>
    </w:pPr>
  </w:style>
  <w:style w:type="paragraph" w:customStyle="1" w:styleId="215">
    <w:name w:val="批注框文本1"/>
    <w:basedOn w:val="1"/>
    <w:link w:val="216"/>
    <w:qFormat/>
    <w:uiPriority w:val="0"/>
    <w:rPr>
      <w:sz w:val="18"/>
      <w:szCs w:val="18"/>
    </w:rPr>
  </w:style>
  <w:style w:type="character" w:customStyle="1" w:styleId="216">
    <w:name w:val="批注框文本 Char"/>
    <w:link w:val="215"/>
    <w:qFormat/>
    <w:uiPriority w:val="0"/>
    <w:rPr>
      <w:rFonts w:ascii="Times New Roman" w:hAnsi="Times New Roman"/>
      <w:sz w:val="18"/>
      <w:szCs w:val="18"/>
    </w:rPr>
  </w:style>
  <w:style w:type="character" w:customStyle="1" w:styleId="217">
    <w:name w:val="标题 1 Char"/>
    <w:link w:val="198"/>
    <w:qFormat/>
    <w:uiPriority w:val="0"/>
    <w:rPr>
      <w:rFonts w:ascii="宋体" w:hAnsi="宋体" w:eastAsia="Times New Roman" w:cs="宋体"/>
      <w:b/>
      <w:sz w:val="48"/>
    </w:rPr>
  </w:style>
  <w:style w:type="paragraph" w:customStyle="1" w:styleId="218">
    <w:name w:val="脚注文本1"/>
    <w:basedOn w:val="1"/>
    <w:link w:val="219"/>
    <w:unhideWhenUsed/>
    <w:qFormat/>
    <w:uiPriority w:val="0"/>
    <w:pPr>
      <w:spacing w:line="360" w:lineRule="atLeast"/>
      <w:jc w:val="left"/>
    </w:pPr>
    <w:rPr>
      <w:sz w:val="18"/>
      <w:szCs w:val="20"/>
    </w:rPr>
  </w:style>
  <w:style w:type="character" w:customStyle="1" w:styleId="219">
    <w:name w:val="脚注文本 Char"/>
    <w:link w:val="218"/>
    <w:qFormat/>
    <w:uiPriority w:val="0"/>
    <w:rPr>
      <w:rFonts w:ascii="Times New Roman" w:hAnsi="Times New Roman"/>
      <w:sz w:val="18"/>
    </w:rPr>
  </w:style>
  <w:style w:type="character" w:customStyle="1" w:styleId="220">
    <w:name w:val="脚注引用1"/>
    <w:unhideWhenUsed/>
    <w:qFormat/>
    <w:uiPriority w:val="0"/>
    <w:rPr>
      <w:vertAlign w:val="superscript"/>
    </w:rPr>
  </w:style>
  <w:style w:type="paragraph" w:customStyle="1" w:styleId="221">
    <w:name w:val="p0"/>
    <w:basedOn w:val="1"/>
    <w:qFormat/>
    <w:uiPriority w:val="0"/>
    <w:pPr>
      <w:widowControl/>
      <w:spacing w:line="360" w:lineRule="atLeast"/>
    </w:pPr>
    <w:rPr>
      <w:rFonts w:eastAsia="Times New Roman"/>
      <w:sz w:val="21"/>
      <w:szCs w:val="20"/>
    </w:rPr>
  </w:style>
  <w:style w:type="table" w:customStyle="1" w:styleId="222">
    <w:name w:val="网格型1"/>
    <w:basedOn w:val="200"/>
    <w:qFormat/>
    <w:uiPriority w:val="0"/>
    <w:pPr>
      <w:widowControl w:val="0"/>
      <w:jc w:val="both"/>
    </w:pPr>
    <w:rPr>
      <w:rFonts w:ascii="Calibri" w:hAnsi="Calibri"/>
    </w:rPr>
  </w:style>
  <w:style w:type="character" w:customStyle="1" w:styleId="223">
    <w:name w:val="页眉 Char1"/>
    <w:link w:val="205"/>
    <w:qFormat/>
    <w:uiPriority w:val="99"/>
    <w:rPr>
      <w:sz w:val="18"/>
      <w:szCs w:val="18"/>
    </w:rPr>
  </w:style>
  <w:style w:type="character" w:customStyle="1" w:styleId="224">
    <w:name w:val="批注引用1"/>
    <w:qFormat/>
    <w:uiPriority w:val="0"/>
    <w:rPr>
      <w:sz w:val="21"/>
      <w:szCs w:val="21"/>
    </w:rPr>
  </w:style>
  <w:style w:type="character" w:customStyle="1" w:styleId="225">
    <w:name w:val="active16"/>
    <w:basedOn w:val="39"/>
    <w:qFormat/>
    <w:uiPriority w:val="0"/>
    <w:rPr>
      <w:color w:val="FFFFFF"/>
      <w:bdr w:val="single" w:color="0F5BB9" w:sz="6" w:space="0"/>
      <w:shd w:val="clear" w:color="auto" w:fill="0F5BB9"/>
    </w:rPr>
  </w:style>
  <w:style w:type="paragraph" w:customStyle="1" w:styleId="226">
    <w:name w:val="纯文本1"/>
    <w:basedOn w:val="1"/>
    <w:qFormat/>
    <w:uiPriority w:val="0"/>
    <w:rPr>
      <w:rFonts w:ascii="宋体" w:hAnsi="Courier New"/>
      <w:szCs w:val="20"/>
    </w:rPr>
  </w:style>
  <w:style w:type="paragraph" w:customStyle="1" w:styleId="227">
    <w:name w:val="Table Paragraph"/>
    <w:basedOn w:val="1"/>
    <w:qFormat/>
    <w:uiPriority w:val="1"/>
    <w:pPr>
      <w:autoSpaceDE w:val="0"/>
      <w:autoSpaceDN w:val="0"/>
      <w:jc w:val="left"/>
    </w:pPr>
    <w:rPr>
      <w:rFonts w:ascii="宋体" w:hAnsi="宋体" w:cs="宋体"/>
      <w:sz w:val="22"/>
      <w:szCs w:val="22"/>
      <w:lang w:val="zh-CN" w:bidi="zh-CN"/>
    </w:rPr>
  </w:style>
  <w:style w:type="paragraph" w:customStyle="1" w:styleId="228">
    <w:name w:val="Other|1"/>
    <w:basedOn w:val="1"/>
    <w:qFormat/>
    <w:uiPriority w:val="0"/>
    <w:pPr>
      <w:spacing w:line="480" w:lineRule="auto"/>
      <w:ind w:firstLine="400"/>
    </w:pPr>
    <w:rPr>
      <w:rFonts w:ascii="宋体" w:hAnsi="宋体" w:cs="宋体"/>
      <w:sz w:val="20"/>
      <w:szCs w:val="20"/>
      <w:lang w:val="zh-TW" w:eastAsia="zh-TW" w:bidi="zh-TW"/>
    </w:rPr>
  </w:style>
  <w:style w:type="character" w:customStyle="1" w:styleId="229">
    <w:name w:val="批注框文本 字符"/>
    <w:basedOn w:val="39"/>
    <w:link w:val="22"/>
    <w:semiHidden/>
    <w:qFormat/>
    <w:uiPriority w:val="99"/>
    <w:rPr>
      <w:sz w:val="18"/>
      <w:szCs w:val="18"/>
    </w:rPr>
  </w:style>
  <w:style w:type="character" w:customStyle="1" w:styleId="230">
    <w:name w:val="批注文字 字符"/>
    <w:basedOn w:val="39"/>
    <w:link w:val="15"/>
    <w:semiHidden/>
    <w:qFormat/>
    <w:uiPriority w:val="99"/>
    <w:rPr>
      <w:sz w:val="24"/>
      <w:szCs w:val="24"/>
    </w:rPr>
  </w:style>
  <w:style w:type="character" w:customStyle="1" w:styleId="231">
    <w:name w:val="批注主题 字符"/>
    <w:basedOn w:val="230"/>
    <w:link w:val="35"/>
    <w:semiHidden/>
    <w:qFormat/>
    <w:uiPriority w:val="99"/>
    <w:rPr>
      <w:b/>
      <w:bCs/>
      <w:sz w:val="24"/>
      <w:szCs w:val="24"/>
    </w:rPr>
  </w:style>
  <w:style w:type="table" w:customStyle="1" w:styleId="23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38</Pages>
  <Words>5285</Words>
  <Characters>5889</Characters>
  <Lines>144</Lines>
  <Paragraphs>40</Paragraphs>
  <TotalTime>127</TotalTime>
  <ScaleCrop>false</ScaleCrop>
  <LinksUpToDate>false</LinksUpToDate>
  <CharactersWithSpaces>5933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2025-11-25T00:53:00Z</dcterms:created>
  <dc:creator>城南大院物业管理处-叶丹青</dc:creator>
  <cp:lastModifiedBy>悠悠</cp:lastModifiedBy>
  <cp:lastPrinted>2025-11-27T02:46:00Z</cp:lastPrinted>
  <dcterms:modified xsi:type="dcterms:W3CDTF">2026-05-29T01:03:02Z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C0058A2C75154A6E9D77B2A24907A949_13</vt:lpwstr>
  </property>
  <property fmtid="{D5CDD505-2E9C-101B-9397-08002B2CF9AE}" pid="4" name="KSOTemplateDocerSaveRecord">
    <vt:lpwstr>eyJoZGlkIjoiZGFmOTA5N2IxNmQ1YWY5MjI1YTlkYmVhY2NiMGJkN2QiLCJ1c2VySWQiOiI1Njk0NzI4ODgifQ==</vt:lpwstr>
  </property>
</Properties>
</file>